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861"/>
        <w:gridCol w:w="4820"/>
        <w:gridCol w:w="5103"/>
        <w:gridCol w:w="3827"/>
      </w:tblGrid>
      <w:tr w:rsidR="00FD27DE" w:rsidRPr="00E844B1" w:rsidTr="007E734A">
        <w:trPr>
          <w:trHeight w:val="253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E844B1" w:rsidRDefault="00FD27DE" w:rsidP="00FC52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Calibri" w:cstheme="minorHAnsi"/>
                <w:color w:val="000000"/>
                <w:kern w:val="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E844B1" w:rsidRDefault="00FD27DE" w:rsidP="00FC52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Calibri" w:cstheme="minorHAnsi"/>
                <w:color w:val="000000"/>
                <w:kern w:val="24"/>
                <w:sz w:val="20"/>
                <w:szCs w:val="20"/>
                <w:lang w:eastAsia="ru-RU"/>
              </w:rPr>
              <w:t>№ пункта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E844B1" w:rsidRDefault="00FD27DE" w:rsidP="00FC52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Calibri" w:cstheme="minorHAnsi"/>
                <w:color w:val="000000"/>
                <w:kern w:val="24"/>
                <w:sz w:val="20"/>
                <w:szCs w:val="20"/>
                <w:lang w:eastAsia="ru-RU"/>
              </w:rPr>
              <w:t>Старая редакция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E844B1" w:rsidRDefault="00FD27DE" w:rsidP="00FC52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Calibri" w:cstheme="minorHAnsi"/>
                <w:color w:val="000000"/>
                <w:kern w:val="24"/>
                <w:sz w:val="20"/>
                <w:szCs w:val="20"/>
                <w:lang w:eastAsia="ru-RU"/>
              </w:rPr>
              <w:t>Новая редакция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E844B1" w:rsidRDefault="00FD27DE" w:rsidP="00FC52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Calibri" w:cstheme="minorHAnsi"/>
                <w:color w:val="000000"/>
                <w:kern w:val="24"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FD27DE" w:rsidRPr="00E844B1" w:rsidTr="007E734A">
        <w:trPr>
          <w:trHeight w:val="253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E844B1" w:rsidRDefault="00FD27DE" w:rsidP="00FC52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Calibri" w:cstheme="minorHAnsi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E844B1" w:rsidRDefault="00FD27DE" w:rsidP="00FC52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Calibri" w:cstheme="minorHAnsi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E844B1" w:rsidRDefault="00FD27DE" w:rsidP="00FC52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Calibri" w:cstheme="minorHAnsi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E844B1" w:rsidRDefault="00FD27DE" w:rsidP="00FC52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Calibri" w:cstheme="minorHAnsi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E844B1" w:rsidRDefault="00FD27DE" w:rsidP="00FC52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Calibri" w:cstheme="minorHAnsi"/>
                <w:color w:val="000000"/>
                <w:kern w:val="24"/>
                <w:sz w:val="20"/>
                <w:szCs w:val="20"/>
                <w:lang w:eastAsia="ru-RU"/>
              </w:rPr>
              <w:t>5</w:t>
            </w:r>
          </w:p>
        </w:tc>
      </w:tr>
      <w:tr w:rsidR="00A32075" w:rsidRPr="00E844B1" w:rsidTr="00C74147">
        <w:trPr>
          <w:trHeight w:val="2532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A32075" w:rsidRPr="00E844B1" w:rsidRDefault="00A32075" w:rsidP="00FC52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Calibri" w:cstheme="minorHAnsi"/>
                <w:color w:val="000000"/>
                <w:kern w:val="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2075" w:rsidRPr="00E844B1" w:rsidRDefault="00A32075" w:rsidP="00FC52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Calibri" w:cstheme="minorHAnsi"/>
                <w:color w:val="000000"/>
                <w:kern w:val="24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2075" w:rsidRPr="00E844B1" w:rsidRDefault="00A32075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 xml:space="preserve">«94. Реконструкция (модернизация) оборудования под давлением должна быть осуществлена по проекту, разработанному организацией - изготовителем оборудования или проектной организацией. Если реконструкция (модернизация) проводится с отступлениями от требований руководства (инструкции) по эксплуатации, то эти отступления должны быть согласованы с разработчиком руководства (инструкции) по эксплуатации. В случае если объем и характер работ по реконструкции (модернизации) предусматривает изменение конструкции основных элементов и технических характеристик оборудования, создающих необходимость оформления нового паспорта и руководства (инструкции) по эксплуатации, то после окончания работ должно быть обеспечено подтверждение соответствия оборудования требованиям </w:t>
            </w:r>
            <w:hyperlink r:id="rId6" w:history="1">
              <w:proofErr w:type="gramStart"/>
              <w:r w:rsidRPr="00E844B1">
                <w:rPr>
                  <w:rFonts w:cstheme="minorHAnsi"/>
                  <w:color w:val="0000FF"/>
                  <w:sz w:val="20"/>
                  <w:szCs w:val="20"/>
                </w:rPr>
                <w:t>ТР</w:t>
              </w:r>
              <w:proofErr w:type="gramEnd"/>
              <w:r w:rsidRPr="00E844B1">
                <w:rPr>
                  <w:rFonts w:cstheme="minorHAnsi"/>
                  <w:color w:val="0000FF"/>
                  <w:sz w:val="20"/>
                  <w:szCs w:val="20"/>
                </w:rPr>
                <w:t xml:space="preserve"> ТС 032/2013</w:t>
              </w:r>
            </w:hyperlink>
            <w:r w:rsidRPr="00E844B1">
              <w:rPr>
                <w:rFonts w:cstheme="minorHAnsi"/>
                <w:sz w:val="20"/>
                <w:szCs w:val="20"/>
              </w:rPr>
              <w:t xml:space="preserve"> с последующим вводом в эксплуатацию в соответствии с требованиями настоящих ФНП.»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2075" w:rsidRPr="00E844B1" w:rsidRDefault="00A32075" w:rsidP="00FC52D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 xml:space="preserve">«94. Реконструкция (модернизация) оборудования под давлением должна быть осуществлена по проекту, разработанному организацией - изготовителем оборудования или проектной организацией. Если реконструкция (модернизация) проводится с отступлениями от требований руководства (инструкции) по эксплуатации, то эти отступления должны быть согласованы с разработчиком руководства (инструкции) по эксплуатации. В случае если объем и характер работ по реконструкции (модернизации) предусматривает изменение конструкции основных элементов и технических характеристик оборудования, создающих необходимость оформления нового паспорта и руководства (инструкции) по эксплуатации, то после окончания </w:t>
            </w:r>
            <w:proofErr w:type="gramStart"/>
            <w:r w:rsidRPr="00E844B1">
              <w:rPr>
                <w:rFonts w:cstheme="minorHAnsi"/>
                <w:sz w:val="20"/>
                <w:szCs w:val="20"/>
              </w:rPr>
              <w:t>работ</w:t>
            </w:r>
            <w:proofErr w:type="gramEnd"/>
            <w:r w:rsidRPr="00E844B1">
              <w:rPr>
                <w:rFonts w:cstheme="minorHAnsi"/>
                <w:sz w:val="20"/>
                <w:szCs w:val="20"/>
              </w:rPr>
              <w:t xml:space="preserve"> должно быть проведена экспертиза промышленной безопасности с последующим вводом в эксплуатацию в соответствии с требованиями настоящих ФНП.</w:t>
            </w:r>
          </w:p>
          <w:p w:rsidR="00A32075" w:rsidRPr="00E844B1" w:rsidRDefault="00A32075" w:rsidP="00FC52D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>При этом паспорт и руководство (инструкцию) по эксплуатации указанного оборудования разрабатывает (перерабатывает) организация – изготовитель оборудования, проектная или эксплуатирующая организация на основании проектной документации</w:t>
            </w:r>
            <w:proofErr w:type="gramStart"/>
            <w:r w:rsidRPr="00E844B1">
              <w:rPr>
                <w:rFonts w:cstheme="minorHAnsi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2075" w:rsidRPr="00E844B1" w:rsidRDefault="00A32075" w:rsidP="00FC52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>Подтвержд</w:t>
            </w:r>
            <w:r w:rsidR="00B03CE9">
              <w:rPr>
                <w:rFonts w:eastAsia="Times New Roman" w:cstheme="minorHAnsi"/>
                <w:sz w:val="20"/>
                <w:szCs w:val="20"/>
                <w:lang w:eastAsia="ru-RU"/>
              </w:rPr>
              <w:t>ение соответствия</w:t>
            </w:r>
            <w:r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требованиям </w:t>
            </w:r>
            <w:hyperlink r:id="rId7" w:history="1">
              <w:proofErr w:type="gramStart"/>
              <w:r w:rsidRPr="00E844B1">
                <w:rPr>
                  <w:rFonts w:cstheme="minorHAnsi"/>
                  <w:color w:val="0000FF"/>
                  <w:sz w:val="20"/>
                  <w:szCs w:val="20"/>
                </w:rPr>
                <w:t>ТР</w:t>
              </w:r>
              <w:proofErr w:type="gramEnd"/>
              <w:r w:rsidRPr="00E844B1">
                <w:rPr>
                  <w:rFonts w:cstheme="minorHAnsi"/>
                  <w:color w:val="0000FF"/>
                  <w:sz w:val="20"/>
                  <w:szCs w:val="20"/>
                </w:rPr>
                <w:t xml:space="preserve"> ТС 032/2013</w:t>
              </w:r>
            </w:hyperlink>
            <w:r w:rsidRPr="00E844B1">
              <w:rPr>
                <w:rFonts w:cstheme="minorHAnsi"/>
                <w:sz w:val="20"/>
                <w:szCs w:val="20"/>
              </w:rPr>
              <w:t xml:space="preserve"> </w:t>
            </w:r>
            <w:r w:rsidR="00B03CE9">
              <w:rPr>
                <w:rFonts w:cstheme="minorHAnsi"/>
                <w:sz w:val="20"/>
                <w:szCs w:val="20"/>
              </w:rPr>
              <w:t xml:space="preserve">необходимо </w:t>
            </w:r>
            <w:r w:rsidRPr="00E844B1">
              <w:rPr>
                <w:rFonts w:cstheme="minorHAnsi"/>
                <w:sz w:val="20"/>
                <w:szCs w:val="20"/>
              </w:rPr>
              <w:t>только то</w:t>
            </w:r>
            <w:r w:rsidR="00B03CE9">
              <w:rPr>
                <w:rFonts w:cstheme="minorHAnsi"/>
                <w:sz w:val="20"/>
                <w:szCs w:val="20"/>
              </w:rPr>
              <w:t>го оборудования</w:t>
            </w:r>
            <w:r w:rsidRPr="00E844B1">
              <w:rPr>
                <w:rFonts w:cstheme="minorHAnsi"/>
                <w:sz w:val="20"/>
                <w:szCs w:val="20"/>
              </w:rPr>
              <w:t xml:space="preserve">, которое «впервые выпущено в обращение на территории Таможенного союза» (см. 2 абзац </w:t>
            </w:r>
            <w:hyperlink r:id="rId8" w:history="1">
              <w:r w:rsidRPr="00E844B1">
                <w:rPr>
                  <w:rFonts w:cstheme="minorHAnsi"/>
                  <w:color w:val="0000FF"/>
                  <w:sz w:val="20"/>
                  <w:szCs w:val="20"/>
                </w:rPr>
                <w:t>ТР ТС 032/2013</w:t>
              </w:r>
            </w:hyperlink>
            <w:r w:rsidRPr="00E844B1">
              <w:rPr>
                <w:rFonts w:cstheme="minorHAnsi"/>
                <w:sz w:val="20"/>
                <w:szCs w:val="20"/>
              </w:rPr>
              <w:t>). Оборудование уже находившееся в эксплуатации и не предназначенное для продажи такого подтверждения не требует (</w:t>
            </w:r>
            <w:proofErr w:type="gramStart"/>
            <w:r w:rsidRPr="00E844B1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E844B1">
              <w:rPr>
                <w:rFonts w:cstheme="minorHAnsi"/>
                <w:sz w:val="20"/>
                <w:szCs w:val="20"/>
              </w:rPr>
              <w:t xml:space="preserve"> учитывая требования регламента, не может быть подвергнуто).</w:t>
            </w:r>
          </w:p>
          <w:p w:rsidR="00A32075" w:rsidRPr="00E844B1" w:rsidRDefault="00A32075" w:rsidP="00FC52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B82BC1" w:rsidRPr="00E844B1" w:rsidRDefault="00A32075" w:rsidP="00FC52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>Паспорт и инструкцию по эксплуатации на реконструированное оборудование (например, на трубопровод) может разработать эксплуатирующая организация, на которой данное оборудование эксплуатировалось, на основании данных, указанных в проектной документации.</w:t>
            </w:r>
          </w:p>
        </w:tc>
      </w:tr>
      <w:tr w:rsidR="00FD27DE" w:rsidRPr="00E844B1" w:rsidTr="00A32075">
        <w:trPr>
          <w:trHeight w:val="2532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E844B1" w:rsidRDefault="00A32075" w:rsidP="00FC52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Calibri" w:cstheme="minorHAnsi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7DE" w:rsidRPr="00E844B1" w:rsidRDefault="00A32075" w:rsidP="00FC52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2075" w:rsidRPr="00E844B1" w:rsidRDefault="00A32075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 xml:space="preserve">«360. Оборудование под давлением, перечисленное в </w:t>
            </w:r>
            <w:hyperlink w:anchor="Par53" w:history="1">
              <w:r w:rsidRPr="00E844B1">
                <w:rPr>
                  <w:rFonts w:cstheme="minorHAnsi"/>
                  <w:color w:val="0000FF"/>
                  <w:sz w:val="20"/>
                  <w:szCs w:val="20"/>
                </w:rPr>
                <w:t>пункте 3</w:t>
              </w:r>
            </w:hyperlink>
            <w:r w:rsidRPr="00E844B1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E844B1">
              <w:rPr>
                <w:rFonts w:cstheme="minorHAnsi"/>
                <w:sz w:val="20"/>
                <w:szCs w:val="20"/>
              </w:rPr>
              <w:t>настоящих</w:t>
            </w:r>
            <w:proofErr w:type="gramEnd"/>
            <w:r w:rsidRPr="00E844B1">
              <w:rPr>
                <w:rFonts w:cstheme="minorHAnsi"/>
                <w:sz w:val="20"/>
                <w:szCs w:val="20"/>
              </w:rPr>
              <w:t xml:space="preserve"> ФНП, должно подвергаться техническому освидетельствованию:</w:t>
            </w:r>
          </w:p>
          <w:p w:rsidR="00A32075" w:rsidRPr="00E844B1" w:rsidRDefault="00A32075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>а) до ввода в эксплуатацию после монтажа (первичное техническое освидетельствование);</w:t>
            </w:r>
          </w:p>
          <w:p w:rsidR="00A32075" w:rsidRPr="00E844B1" w:rsidRDefault="00A32075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>б) периодически в процессе эксплуатации (периодическое техническое освидетельствование);</w:t>
            </w:r>
          </w:p>
          <w:p w:rsidR="00FD27DE" w:rsidRPr="00E844B1" w:rsidRDefault="00A32075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>в) до наступления срока периодического технического освидетельствования в случаях, установленных настоящими ФНП (внеочередное техническое освидетельствование)</w:t>
            </w:r>
            <w:proofErr w:type="gramStart"/>
            <w:r w:rsidRPr="00E844B1">
              <w:rPr>
                <w:rFonts w:cstheme="minorHAnsi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2075" w:rsidRPr="00E844B1" w:rsidRDefault="00A32075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 xml:space="preserve">«360. Оборудование под давлением, перечисленное в </w:t>
            </w:r>
            <w:hyperlink w:anchor="Par53" w:history="1">
              <w:r w:rsidRPr="00E844B1">
                <w:rPr>
                  <w:rFonts w:cstheme="minorHAnsi"/>
                  <w:color w:val="0000FF"/>
                  <w:sz w:val="20"/>
                  <w:szCs w:val="20"/>
                </w:rPr>
                <w:t>пункте 3</w:t>
              </w:r>
            </w:hyperlink>
            <w:r w:rsidRPr="00E844B1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E844B1">
              <w:rPr>
                <w:rFonts w:cstheme="minorHAnsi"/>
                <w:sz w:val="20"/>
                <w:szCs w:val="20"/>
              </w:rPr>
              <w:t>настоящих</w:t>
            </w:r>
            <w:proofErr w:type="gramEnd"/>
            <w:r w:rsidRPr="00E844B1">
              <w:rPr>
                <w:rFonts w:cstheme="minorHAnsi"/>
                <w:sz w:val="20"/>
                <w:szCs w:val="20"/>
              </w:rPr>
              <w:t xml:space="preserve"> ФНП, должно подвергаться техническому освидетельствованию:</w:t>
            </w:r>
          </w:p>
          <w:p w:rsidR="00A32075" w:rsidRPr="00E844B1" w:rsidRDefault="00A32075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>а) до ввода в эксплуатацию после монтажа (первичное техническое освидетельствование);</w:t>
            </w:r>
          </w:p>
          <w:p w:rsidR="00A32075" w:rsidRPr="00E844B1" w:rsidRDefault="00A32075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>б) периодически в процессе эксплуатации (периодическое техническое освидетельствование);</w:t>
            </w:r>
          </w:p>
          <w:p w:rsidR="00FC52D6" w:rsidRPr="00E844B1" w:rsidRDefault="00A32075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>в) до наступления срока периодического технического освидетельствования в случаях, установленных настоящими ФНП (внеочередное те</w:t>
            </w:r>
            <w:r w:rsidR="00CC1877" w:rsidRPr="00E844B1">
              <w:rPr>
                <w:rFonts w:cstheme="minorHAnsi"/>
                <w:sz w:val="20"/>
                <w:szCs w:val="20"/>
              </w:rPr>
              <w:t>хническое освидетельствование);</w:t>
            </w:r>
            <w:r w:rsidR="00FC52D6" w:rsidRPr="00E844B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32075" w:rsidRPr="00E844B1" w:rsidRDefault="00A32075" w:rsidP="00FC52D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 xml:space="preserve">г) </w:t>
            </w:r>
            <w:r w:rsidR="00CC1877" w:rsidRPr="00E844B1">
              <w:rPr>
                <w:rFonts w:cstheme="minorHAnsi"/>
                <w:sz w:val="20"/>
                <w:szCs w:val="20"/>
              </w:rPr>
              <w:t>по истечении срока службы (ресурса) или при превышении количества циклов нагрузки оборудования под давлением, не подлежащего учету в ор</w:t>
            </w:r>
            <w:r w:rsidR="00FC52D6" w:rsidRPr="00E844B1">
              <w:rPr>
                <w:rFonts w:cstheme="minorHAnsi"/>
                <w:sz w:val="20"/>
                <w:szCs w:val="20"/>
              </w:rPr>
              <w:t xml:space="preserve">ганах Ростехнадзора </w:t>
            </w:r>
            <w:r w:rsidR="00CC1877" w:rsidRPr="00E844B1">
              <w:rPr>
                <w:rFonts w:cstheme="minorHAnsi"/>
                <w:sz w:val="20"/>
                <w:szCs w:val="20"/>
              </w:rPr>
              <w:t xml:space="preserve">с </w:t>
            </w:r>
            <w:r w:rsidR="00FC52D6" w:rsidRPr="00E844B1">
              <w:rPr>
                <w:rFonts w:cstheme="minorHAnsi"/>
                <w:sz w:val="20"/>
                <w:szCs w:val="20"/>
              </w:rPr>
              <w:t xml:space="preserve">установленной периодичностью и </w:t>
            </w:r>
            <w:r w:rsidR="00CC1877" w:rsidRPr="00E844B1">
              <w:rPr>
                <w:rFonts w:cstheme="minorHAnsi"/>
                <w:sz w:val="20"/>
                <w:szCs w:val="20"/>
              </w:rPr>
              <w:t>обязательным проведением технического диагностирования</w:t>
            </w:r>
            <w:proofErr w:type="gramStart"/>
            <w:r w:rsidR="00CC1877" w:rsidRPr="00E844B1">
              <w:rPr>
                <w:rFonts w:cstheme="minorHAnsi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0A34" w:rsidRPr="00E844B1" w:rsidRDefault="00B82BC1" w:rsidP="00FC52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>Необходимо сфокусироваться (при проведении экспертизы промышленной безопасности) на наиболее опасном оборудовании. При этом оборудование под давлением, не подлежащее учету в органах Ростехна</w:t>
            </w:r>
            <w:r w:rsidR="00085854"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>дзора (котлы небольшой мощности</w:t>
            </w:r>
            <w:r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, трубопроводы малого диаметра и т.д.) по истечению срока </w:t>
            </w:r>
            <w:r w:rsidR="003D07D3"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службы </w:t>
            </w:r>
            <w:r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>будут проходить тех</w:t>
            </w:r>
            <w:r w:rsidR="003D07D3"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>ническое освидетельствования с обязательным проведением технического диагностирования.</w:t>
            </w:r>
          </w:p>
          <w:p w:rsidR="00B82BC1" w:rsidRPr="00E844B1" w:rsidRDefault="00B82BC1" w:rsidP="00FC52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82BC1" w:rsidRPr="00E844B1" w:rsidRDefault="00E844B1" w:rsidP="0008585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cstheme="minorHAnsi"/>
                <w:sz w:val="20"/>
                <w:szCs w:val="20"/>
              </w:rPr>
              <w:t xml:space="preserve">Пункт сформулирован по аналогии с ФНП по подъемным сооружениям, где имеются указания о том, что не подлежащим учету в </w:t>
            </w:r>
            <w:proofErr w:type="spellStart"/>
            <w:r w:rsidRPr="00E844B1">
              <w:rPr>
                <w:rFonts w:cstheme="minorHAnsi"/>
                <w:sz w:val="20"/>
                <w:szCs w:val="20"/>
              </w:rPr>
              <w:t>Ростехнадзоре</w:t>
            </w:r>
            <w:proofErr w:type="spellEnd"/>
            <w:r w:rsidRPr="00E844B1">
              <w:rPr>
                <w:rFonts w:cstheme="minorHAnsi"/>
                <w:sz w:val="20"/>
                <w:szCs w:val="20"/>
              </w:rPr>
              <w:t xml:space="preserve"> ПС ЭПБ не проводится.</w:t>
            </w:r>
          </w:p>
        </w:tc>
      </w:tr>
      <w:tr w:rsidR="00FD27DE" w:rsidRPr="00E844B1" w:rsidTr="007E734A">
        <w:trPr>
          <w:trHeight w:val="2532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E844B1" w:rsidRDefault="00A32075" w:rsidP="00FC52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27DE" w:rsidRPr="00E844B1" w:rsidRDefault="004A3B26" w:rsidP="00FC52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27DE" w:rsidRPr="00E844B1" w:rsidRDefault="004A3B26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 xml:space="preserve">«362. Технические освидетельствования оборудования под давлением проводит уполномоченная в установленном порядке специализированная организация, а также </w:t>
            </w:r>
            <w:proofErr w:type="gramStart"/>
            <w:r w:rsidRPr="00E844B1">
              <w:rPr>
                <w:rFonts w:cstheme="minorHAnsi"/>
                <w:sz w:val="20"/>
                <w:szCs w:val="20"/>
              </w:rPr>
              <w:t>ответственный</w:t>
            </w:r>
            <w:proofErr w:type="gramEnd"/>
            <w:r w:rsidRPr="00E844B1">
              <w:rPr>
                <w:rFonts w:cstheme="minorHAnsi"/>
                <w:sz w:val="20"/>
                <w:szCs w:val="20"/>
              </w:rPr>
              <w:t xml:space="preserve"> за осуществление производственного контроля за безопасной эксплуатацией оборудования совместно с ответственным за исправное состояние и безопасную эксплуатацию оборудования в случаях, установленных настоящими ФНП.»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52D6" w:rsidRPr="00E844B1" w:rsidRDefault="00260836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 xml:space="preserve">«362. Технические освидетельствования оборудования под давлением проводит уполномоченная в установленном порядке специализированная организация, а также </w:t>
            </w:r>
            <w:proofErr w:type="gramStart"/>
            <w:r w:rsidRPr="00E844B1">
              <w:rPr>
                <w:rFonts w:cstheme="minorHAnsi"/>
                <w:sz w:val="20"/>
                <w:szCs w:val="20"/>
              </w:rPr>
              <w:t>ответственный</w:t>
            </w:r>
            <w:proofErr w:type="gramEnd"/>
            <w:r w:rsidRPr="00E844B1">
              <w:rPr>
                <w:rFonts w:cstheme="minorHAnsi"/>
                <w:sz w:val="20"/>
                <w:szCs w:val="20"/>
              </w:rPr>
              <w:t xml:space="preserve"> за осуществление производственного контроля за безопасной эксплуатацией оборудования совместно с ответственным за исправное состояние и безопасную эксплуатацию оборудования в случаях, установленных настоящими ФНП.</w:t>
            </w:r>
            <w:r w:rsidR="00FC52D6" w:rsidRPr="00E844B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D4E4D" w:rsidRPr="00E844B1" w:rsidRDefault="00260836" w:rsidP="00B82BC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 xml:space="preserve">В случаях если эксплуатирующая организация </w:t>
            </w:r>
            <w:r w:rsidR="00B82BC1" w:rsidRPr="00E844B1">
              <w:rPr>
                <w:rFonts w:cstheme="minorHAnsi"/>
                <w:sz w:val="20"/>
                <w:szCs w:val="20"/>
              </w:rPr>
              <w:t>располагает необходимой документацией на проведение технического освидетельствования,</w:t>
            </w:r>
            <w:r w:rsidRPr="00E844B1">
              <w:rPr>
                <w:rFonts w:cstheme="minorHAnsi"/>
                <w:sz w:val="20"/>
                <w:szCs w:val="20"/>
              </w:rPr>
              <w:t xml:space="preserve"> имеет в своем штате (пли привлекает со стороны) специалистов по техническому диагностированию, неразрушающему (разрушающему) контролю</w:t>
            </w:r>
            <w:r w:rsidR="00B82BC1" w:rsidRPr="00E844B1">
              <w:rPr>
                <w:rFonts w:cstheme="minorHAnsi"/>
                <w:sz w:val="20"/>
                <w:szCs w:val="20"/>
              </w:rPr>
              <w:t>,</w:t>
            </w:r>
            <w:r w:rsidRPr="00E844B1">
              <w:rPr>
                <w:rFonts w:cstheme="minorHAnsi"/>
                <w:sz w:val="20"/>
                <w:szCs w:val="20"/>
              </w:rPr>
              <w:t xml:space="preserve"> допускается проведение технического освидетельствования и технического диагностирования силами эксплуатирующей организации без привлечения сторонних организаций</w:t>
            </w:r>
            <w:proofErr w:type="gramStart"/>
            <w:r w:rsidRPr="00E844B1">
              <w:rPr>
                <w:rFonts w:cstheme="minorHAnsi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27DE" w:rsidRPr="00E844B1" w:rsidRDefault="003D07D3" w:rsidP="00FC52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>Наиболее полно владеет информацией о своем оборудовании эксплуатирующая организация. П</w:t>
            </w:r>
            <w:r w:rsidR="00260836"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ри этом если она имеет в своем штате соответствующий персонал и у нее имеется соответствующая документация – то наиболее целесообразным и безопасным будет вариант проведения </w:t>
            </w:r>
            <w:r w:rsidR="002979B5"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технического </w:t>
            </w:r>
            <w:r w:rsidR="00260836"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>освидетельствования силами эксплуатирующей организации.</w:t>
            </w:r>
          </w:p>
          <w:p w:rsidR="002979B5" w:rsidRPr="00E844B1" w:rsidRDefault="00260836" w:rsidP="00FC52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>Специализированные организации – подрядчики, которые меняются каждый год</w:t>
            </w:r>
            <w:r w:rsidR="002979B5"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(следовательно, не несут ответственности за качество ТО)</w:t>
            </w:r>
            <w:r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>, зачастую не знают специф</w:t>
            </w:r>
            <w:r w:rsidR="002979B5"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>ики и особенностей оборудования, и не имеют подготовленного, технически грамотного персонала.</w:t>
            </w:r>
          </w:p>
        </w:tc>
      </w:tr>
      <w:tr w:rsidR="004A3B26" w:rsidRPr="00FC52D6" w:rsidTr="007E734A">
        <w:trPr>
          <w:trHeight w:val="2532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4A3B26" w:rsidRPr="00E844B1" w:rsidRDefault="00A32075" w:rsidP="00FC52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3B26" w:rsidRPr="00E844B1" w:rsidRDefault="002979B5" w:rsidP="00FC52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979B5" w:rsidRPr="00E844B1" w:rsidRDefault="002F0FF2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>«</w:t>
            </w:r>
            <w:r w:rsidR="002979B5" w:rsidRPr="00E844B1">
              <w:rPr>
                <w:rFonts w:cstheme="minorHAnsi"/>
                <w:sz w:val="20"/>
                <w:szCs w:val="20"/>
              </w:rPr>
              <w:t>411. Оборудование под давлением, используемое на ОПО, подлежит экспертизе промышленной безопасности, если иная форма оценки его соответствия не установлена техническими регламентами, в следующих случаях:</w:t>
            </w:r>
          </w:p>
          <w:p w:rsidR="002979B5" w:rsidRPr="00E844B1" w:rsidRDefault="002979B5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 xml:space="preserve">а) до начала применения на ОПО оборудования под давлением, требования к которому не установлены </w:t>
            </w:r>
            <w:hyperlink r:id="rId9" w:history="1">
              <w:r w:rsidRPr="00E844B1">
                <w:rPr>
                  <w:rFonts w:cstheme="minorHAnsi"/>
                  <w:color w:val="0000FF"/>
                  <w:sz w:val="20"/>
                  <w:szCs w:val="20"/>
                </w:rPr>
                <w:t>ТР ТС 032/2013</w:t>
              </w:r>
            </w:hyperlink>
            <w:r w:rsidRPr="00E844B1">
              <w:rPr>
                <w:rFonts w:cstheme="minorHAnsi"/>
                <w:sz w:val="20"/>
                <w:szCs w:val="20"/>
              </w:rPr>
              <w:t>;</w:t>
            </w:r>
          </w:p>
          <w:p w:rsidR="002979B5" w:rsidRPr="00E844B1" w:rsidRDefault="002979B5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>б) по истечении срока службы (ресурса) или при превышении количества циклов нагрузки оборудования под давлением, установленных его изготовителем (производителем); или нормативным правовым актом; или в заключени</w:t>
            </w:r>
            <w:proofErr w:type="gramStart"/>
            <w:r w:rsidRPr="00E844B1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E844B1">
              <w:rPr>
                <w:rFonts w:cstheme="minorHAnsi"/>
                <w:sz w:val="20"/>
                <w:szCs w:val="20"/>
              </w:rPr>
              <w:t xml:space="preserve"> экспертизы промышленной безопасности;</w:t>
            </w:r>
          </w:p>
          <w:p w:rsidR="002979B5" w:rsidRPr="00E844B1" w:rsidRDefault="002979B5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>в) при отсутствии в технической документации данных о сроке службы оборудования под давлением, если фактический срок его службы превышает 20 лет;</w:t>
            </w:r>
          </w:p>
          <w:p w:rsidR="004A3B26" w:rsidRPr="00E844B1" w:rsidRDefault="002979B5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>г) после проведения работ, связанных с изменением конструкции, заменой материала основных элементов оборудования под давлением, либо восстановительного ремонта после аварии или инцидента на ОПО, в результате которых было повреждено оборудование под давлением</w:t>
            </w:r>
            <w:proofErr w:type="gramStart"/>
            <w:r w:rsidRPr="00E844B1">
              <w:rPr>
                <w:rFonts w:cstheme="minorHAnsi"/>
                <w:sz w:val="20"/>
                <w:szCs w:val="20"/>
              </w:rPr>
              <w:t>.</w:t>
            </w:r>
            <w:r w:rsidR="002F0FF2" w:rsidRPr="00E844B1">
              <w:rPr>
                <w:rFonts w:cstheme="minorHAnsi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52D6" w:rsidRPr="00E844B1" w:rsidRDefault="00EE77E9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 xml:space="preserve">«411. </w:t>
            </w:r>
            <w:proofErr w:type="gramStart"/>
            <w:r w:rsidRPr="00E844B1">
              <w:rPr>
                <w:rFonts w:cstheme="minorHAnsi"/>
                <w:sz w:val="20"/>
                <w:szCs w:val="20"/>
              </w:rPr>
              <w:t>Оборудование</w:t>
            </w:r>
            <w:proofErr w:type="gramEnd"/>
            <w:r w:rsidRPr="00E844B1">
              <w:rPr>
                <w:rFonts w:cstheme="minorHAnsi"/>
                <w:sz w:val="20"/>
                <w:szCs w:val="20"/>
              </w:rPr>
              <w:t xml:space="preserve"> под давлением используемое на ОПО, подлежащее учету в органах Ростехнадзора, подлежит экспертизе промышленной безопасности, если иная форма оценки его соответствия не установлена техническими регламентами, в следующих случаях:</w:t>
            </w:r>
            <w:r w:rsidR="00FC52D6" w:rsidRPr="00E844B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E77E9" w:rsidRPr="00E844B1" w:rsidRDefault="00EE77E9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 xml:space="preserve">а) до начала применения на ОПО оборудования под давлением, требования к которому не установлены </w:t>
            </w:r>
            <w:hyperlink r:id="rId10" w:history="1">
              <w:proofErr w:type="gramStart"/>
              <w:r w:rsidRPr="00E844B1">
                <w:rPr>
                  <w:rFonts w:cstheme="minorHAnsi"/>
                  <w:color w:val="0000FF"/>
                  <w:sz w:val="20"/>
                  <w:szCs w:val="20"/>
                </w:rPr>
                <w:t>ТР</w:t>
              </w:r>
              <w:proofErr w:type="gramEnd"/>
              <w:r w:rsidRPr="00E844B1">
                <w:rPr>
                  <w:rFonts w:cstheme="minorHAnsi"/>
                  <w:color w:val="0000FF"/>
                  <w:sz w:val="20"/>
                  <w:szCs w:val="20"/>
                </w:rPr>
                <w:t xml:space="preserve"> ТС 032/2013</w:t>
              </w:r>
            </w:hyperlink>
            <w:r w:rsidRPr="00E844B1">
              <w:rPr>
                <w:rFonts w:cstheme="minorHAnsi"/>
                <w:sz w:val="20"/>
                <w:szCs w:val="20"/>
              </w:rPr>
              <w:t>;</w:t>
            </w:r>
          </w:p>
          <w:p w:rsidR="00EE77E9" w:rsidRPr="00E844B1" w:rsidRDefault="00EE77E9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>б) по истечении срока службы (ресурса) или при превышении количества циклов нагрузки оборудования под давлением</w:t>
            </w:r>
            <w:r w:rsidR="00A32075" w:rsidRPr="00E844B1">
              <w:rPr>
                <w:rFonts w:cstheme="minorHAnsi"/>
                <w:sz w:val="20"/>
                <w:szCs w:val="20"/>
              </w:rPr>
              <w:t>, подлежащего учету в органах Ростехнадзора</w:t>
            </w:r>
            <w:r w:rsidRPr="00E844B1">
              <w:rPr>
                <w:rFonts w:cstheme="minorHAnsi"/>
                <w:sz w:val="20"/>
                <w:szCs w:val="20"/>
              </w:rPr>
              <w:t>, установленных его изготовителем (производителем); или нормативным правовым актом; или в заключени</w:t>
            </w:r>
            <w:proofErr w:type="gramStart"/>
            <w:r w:rsidRPr="00E844B1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E844B1">
              <w:rPr>
                <w:rFonts w:cstheme="minorHAnsi"/>
                <w:sz w:val="20"/>
                <w:szCs w:val="20"/>
              </w:rPr>
              <w:t xml:space="preserve"> экспертизы промышленной безопасности;</w:t>
            </w:r>
          </w:p>
          <w:p w:rsidR="00EE77E9" w:rsidRPr="00E844B1" w:rsidRDefault="00EE77E9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>в) при отсутствии в технической документации данных о сроке службы оборудования под давлением, если фактический срок его службы превышает 20 лет;</w:t>
            </w:r>
          </w:p>
          <w:p w:rsidR="004A3B26" w:rsidRPr="00E844B1" w:rsidRDefault="00EE77E9" w:rsidP="00FC52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>г) после проведения работ, связанных с изменением конструкции, заменой материала основных элементов оборудования под давлением, либо восстановительного ремонта после аварии или инцидента на ОПО, в результате которых было повреждено оборудование под давлением.</w:t>
            </w:r>
          </w:p>
          <w:p w:rsidR="00EE77E9" w:rsidRPr="00E844B1" w:rsidRDefault="00EE77E9" w:rsidP="00FC52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 xml:space="preserve">Оборудование под давлением, используемое на ОПО не подлежащее учету в органах Ростехнадзора по истечении срока службы (ресурса) или при превышении количества циклов нагрузки экспертизе промышленной безопасности не подлежит. </w:t>
            </w:r>
            <w:proofErr w:type="gramStart"/>
            <w:r w:rsidRPr="00E844B1">
              <w:rPr>
                <w:rFonts w:cstheme="minorHAnsi"/>
                <w:sz w:val="20"/>
                <w:szCs w:val="20"/>
              </w:rPr>
              <w:t xml:space="preserve">Указанному оборудованию (если иное не предусмотрено руководством (инструкцией) по эксплуатации) по истечению срока службы (ресурса) или при превышении количества циклов нагрузки с установленной периодичностью проводится техническое освидетельствование с обязательным проведением технического диагностирования и оценкой возможности его эксплуатации до следующего периодического </w:t>
            </w:r>
            <w:r w:rsidRPr="00E844B1">
              <w:rPr>
                <w:rFonts w:cstheme="minorHAnsi"/>
                <w:sz w:val="20"/>
                <w:szCs w:val="20"/>
              </w:rPr>
              <w:lastRenderedPageBreak/>
              <w:t>технического освидетельствования.</w:t>
            </w:r>
            <w:proofErr w:type="gramEnd"/>
          </w:p>
          <w:p w:rsidR="00FC52D6" w:rsidRPr="00E844B1" w:rsidRDefault="00A32075" w:rsidP="00FC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 xml:space="preserve">Оборудование, работающее под давлением (в том числе трубопроводы), отдельные элементы которого прошли оценку соответствия требованиям соответствующих технических регламентов, при условии что монтаж данных элементов на месте использования (с </w:t>
            </w:r>
            <w:proofErr w:type="spellStart"/>
            <w:r w:rsidRPr="00E844B1">
              <w:rPr>
                <w:rFonts w:cstheme="minorHAnsi"/>
                <w:sz w:val="20"/>
                <w:szCs w:val="20"/>
              </w:rPr>
              <w:t>доизготовлением</w:t>
            </w:r>
            <w:proofErr w:type="spellEnd"/>
            <w:r w:rsidRPr="00E844B1">
              <w:rPr>
                <w:rFonts w:cstheme="minorHAnsi"/>
                <w:sz w:val="20"/>
                <w:szCs w:val="20"/>
              </w:rPr>
              <w:t xml:space="preserve">, сборкой и применением неразъемных соединений) производился в соответствии с проектной документацией оценке соответствия требованиям </w:t>
            </w:r>
            <w:hyperlink r:id="rId11" w:history="1">
              <w:proofErr w:type="gramStart"/>
              <w:r w:rsidRPr="00E844B1">
                <w:rPr>
                  <w:rStyle w:val="a4"/>
                  <w:rFonts w:cstheme="minorHAnsi"/>
                  <w:sz w:val="20"/>
                  <w:szCs w:val="20"/>
                </w:rPr>
                <w:t>ТР</w:t>
              </w:r>
              <w:proofErr w:type="gramEnd"/>
              <w:r w:rsidRPr="00E844B1">
                <w:rPr>
                  <w:rStyle w:val="a4"/>
                  <w:rFonts w:cstheme="minorHAnsi"/>
                  <w:sz w:val="20"/>
                  <w:szCs w:val="20"/>
                </w:rPr>
                <w:t xml:space="preserve"> ТС 032/2013</w:t>
              </w:r>
            </w:hyperlink>
            <w:r w:rsidRPr="00E844B1">
              <w:rPr>
                <w:rFonts w:cstheme="minorHAnsi"/>
                <w:sz w:val="20"/>
                <w:szCs w:val="20"/>
              </w:rPr>
              <w:t xml:space="preserve"> или иным техническим регламентам, экспертизе промышленной безопасности не подлежит. </w:t>
            </w:r>
          </w:p>
          <w:p w:rsidR="00A32075" w:rsidRPr="00E844B1" w:rsidRDefault="00A32075" w:rsidP="00FC52D6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>При этом паспорт и руководство (инструкцию) по эксплуатации указанного оборудования разрабатывает проектная или эксплуатирующая организация на основании проектной документации</w:t>
            </w:r>
            <w:proofErr w:type="gramStart"/>
            <w:r w:rsidRPr="00E844B1">
              <w:rPr>
                <w:rFonts w:cstheme="minorHAnsi"/>
                <w:sz w:val="20"/>
                <w:szCs w:val="20"/>
              </w:rPr>
              <w:t>.</w:t>
            </w:r>
            <w:r w:rsidR="00967CB9" w:rsidRPr="00E844B1">
              <w:rPr>
                <w:rFonts w:cstheme="minorHAnsi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07D3" w:rsidRPr="00E844B1" w:rsidRDefault="003D07D3" w:rsidP="003D07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Необходимо сфокусироваться (при проведении экспертизы промышленной безопасности) на наиболее опасном оборудовании. При этом оборудование под давлением, не подлежащее учету в органах Ростехнадзора (котлы небольшой мощности</w:t>
            </w:r>
            <w:proofErr w:type="gramStart"/>
            <w:r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трубопроводы малого диаметра и т.д.) по истечению срока службы будут проходить техническое освидетельствования с обязательным проведением технического диагностирования.</w:t>
            </w:r>
          </w:p>
          <w:p w:rsidR="003D07D3" w:rsidRPr="00E844B1" w:rsidRDefault="003D07D3" w:rsidP="003D07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4A3B26" w:rsidRPr="00E844B1" w:rsidRDefault="003D07D3" w:rsidP="003D07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cstheme="minorHAnsi"/>
                <w:sz w:val="20"/>
                <w:szCs w:val="20"/>
              </w:rPr>
              <w:t>Данная редакция снизит финансовую нагрузку на эксплуатирующие организации, повысит их финансовую устойчивость.</w:t>
            </w:r>
          </w:p>
          <w:p w:rsidR="00967CB9" w:rsidRPr="00E844B1" w:rsidRDefault="00967CB9" w:rsidP="003D07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967CB9" w:rsidRPr="00E844B1" w:rsidRDefault="00967CB9" w:rsidP="00967CB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Подтверждается </w:t>
            </w:r>
            <w:r w:rsidR="00B03CE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на </w:t>
            </w:r>
            <w:r w:rsidRPr="00E844B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соответствие требованиям </w:t>
            </w:r>
            <w:hyperlink r:id="rId12" w:history="1">
              <w:proofErr w:type="gramStart"/>
              <w:r w:rsidRPr="00E844B1">
                <w:rPr>
                  <w:rFonts w:cstheme="minorHAnsi"/>
                  <w:color w:val="0000FF"/>
                  <w:sz w:val="20"/>
                  <w:szCs w:val="20"/>
                </w:rPr>
                <w:t>ТР</w:t>
              </w:r>
              <w:proofErr w:type="gramEnd"/>
              <w:r w:rsidRPr="00E844B1">
                <w:rPr>
                  <w:rFonts w:cstheme="minorHAnsi"/>
                  <w:color w:val="0000FF"/>
                  <w:sz w:val="20"/>
                  <w:szCs w:val="20"/>
                </w:rPr>
                <w:t xml:space="preserve"> ТС 032/2013</w:t>
              </w:r>
            </w:hyperlink>
            <w:r w:rsidRPr="00E844B1">
              <w:rPr>
                <w:rFonts w:cstheme="minorHAnsi"/>
                <w:sz w:val="20"/>
                <w:szCs w:val="20"/>
              </w:rPr>
              <w:t xml:space="preserve"> только то оборудование, которое «впервые выпущено в обращение на территории Таможенного союза» (см. 2 абзац </w:t>
            </w:r>
            <w:hyperlink r:id="rId13" w:history="1">
              <w:r w:rsidRPr="00E844B1">
                <w:rPr>
                  <w:rFonts w:cstheme="minorHAnsi"/>
                  <w:color w:val="0000FF"/>
                  <w:sz w:val="20"/>
                  <w:szCs w:val="20"/>
                </w:rPr>
                <w:t>ТР ТС 032/2013</w:t>
              </w:r>
            </w:hyperlink>
            <w:r w:rsidRPr="00E844B1">
              <w:rPr>
                <w:rFonts w:cstheme="minorHAnsi"/>
                <w:sz w:val="20"/>
                <w:szCs w:val="20"/>
              </w:rPr>
              <w:t>). Следовательно</w:t>
            </w:r>
            <w:r w:rsidR="00B03CE9">
              <w:rPr>
                <w:rFonts w:cstheme="minorHAnsi"/>
                <w:sz w:val="20"/>
                <w:szCs w:val="20"/>
              </w:rPr>
              <w:t>,</w:t>
            </w:r>
            <w:r w:rsidRPr="00E844B1">
              <w:rPr>
                <w:rFonts w:cstheme="minorHAnsi"/>
                <w:sz w:val="20"/>
                <w:szCs w:val="20"/>
              </w:rPr>
              <w:t xml:space="preserve"> после </w:t>
            </w:r>
            <w:proofErr w:type="spellStart"/>
            <w:r w:rsidRPr="00E844B1">
              <w:rPr>
                <w:rFonts w:cstheme="minorHAnsi"/>
                <w:sz w:val="20"/>
                <w:szCs w:val="20"/>
              </w:rPr>
              <w:t>доизготовления</w:t>
            </w:r>
            <w:proofErr w:type="spellEnd"/>
            <w:r w:rsidRPr="00E844B1">
              <w:rPr>
                <w:rFonts w:cstheme="minorHAnsi"/>
                <w:sz w:val="20"/>
                <w:szCs w:val="20"/>
              </w:rPr>
              <w:t xml:space="preserve"> на месте применения данного подтверждения не требуется (в настоящий момент некоторые инспектора Ростехнадзора его требуют, причем не у изготовителя, а у эксплуатирующей организации, то есть потребителя, что неправомерно). Также, если каждый элемент оборудования (например трубопровода) прошел оценку соответствия регламенту, </w:t>
            </w:r>
            <w:r w:rsidR="00B03CE9">
              <w:rPr>
                <w:rFonts w:cstheme="minorHAnsi"/>
                <w:sz w:val="20"/>
                <w:szCs w:val="20"/>
              </w:rPr>
              <w:t xml:space="preserve">а </w:t>
            </w:r>
            <w:r w:rsidRPr="00E844B1">
              <w:rPr>
                <w:rFonts w:cstheme="minorHAnsi"/>
                <w:sz w:val="20"/>
                <w:szCs w:val="20"/>
              </w:rPr>
              <w:t xml:space="preserve">его сборка произведена в соответствии с указаниями изготовителя элементов оборудования и проектом – то нет необходимости в подтверждении соответствия </w:t>
            </w:r>
            <w:proofErr w:type="gramStart"/>
            <w:r w:rsidRPr="00E844B1">
              <w:rPr>
                <w:rFonts w:cstheme="minorHAnsi"/>
                <w:sz w:val="20"/>
                <w:szCs w:val="20"/>
              </w:rPr>
              <w:t>ТР</w:t>
            </w:r>
            <w:proofErr w:type="gramEnd"/>
            <w:r w:rsidRPr="00E844B1">
              <w:rPr>
                <w:rFonts w:cstheme="minorHAnsi"/>
                <w:sz w:val="20"/>
                <w:szCs w:val="20"/>
              </w:rPr>
              <w:t xml:space="preserve"> ТС. </w:t>
            </w:r>
          </w:p>
          <w:p w:rsidR="00967CB9" w:rsidRPr="00FC52D6" w:rsidRDefault="00085854" w:rsidP="0008585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844B1">
              <w:rPr>
                <w:rFonts w:cstheme="minorHAnsi"/>
                <w:sz w:val="20"/>
                <w:szCs w:val="20"/>
              </w:rPr>
              <w:lastRenderedPageBreak/>
              <w:t>Данная редакция снизит нагрузку на эксплуатирующие организации, увеличит их  возмо</w:t>
            </w:r>
            <w:bookmarkStart w:id="0" w:name="_GoBack"/>
            <w:bookmarkEnd w:id="0"/>
            <w:r w:rsidRPr="00E844B1">
              <w:rPr>
                <w:rFonts w:cstheme="minorHAnsi"/>
                <w:sz w:val="20"/>
                <w:szCs w:val="20"/>
              </w:rPr>
              <w:t>жности по модернизации производства.</w:t>
            </w:r>
          </w:p>
        </w:tc>
      </w:tr>
    </w:tbl>
    <w:p w:rsidR="00A57E78" w:rsidRPr="00FC52D6" w:rsidRDefault="00A57E78" w:rsidP="00FC52D6">
      <w:pPr>
        <w:spacing w:line="240" w:lineRule="auto"/>
        <w:rPr>
          <w:rFonts w:cstheme="minorHAnsi"/>
          <w:sz w:val="20"/>
          <w:szCs w:val="20"/>
        </w:rPr>
      </w:pPr>
    </w:p>
    <w:sectPr w:rsidR="00A57E78" w:rsidRPr="00FC52D6" w:rsidSect="00FD27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DE"/>
    <w:rsid w:val="00085854"/>
    <w:rsid w:val="00260836"/>
    <w:rsid w:val="002979B5"/>
    <w:rsid w:val="002F0FF2"/>
    <w:rsid w:val="00304A1E"/>
    <w:rsid w:val="003D07D3"/>
    <w:rsid w:val="004A3B26"/>
    <w:rsid w:val="00565B26"/>
    <w:rsid w:val="007E734A"/>
    <w:rsid w:val="00930A34"/>
    <w:rsid w:val="00967CB9"/>
    <w:rsid w:val="009F1B25"/>
    <w:rsid w:val="00A32075"/>
    <w:rsid w:val="00A57E78"/>
    <w:rsid w:val="00B03CE9"/>
    <w:rsid w:val="00B82BC1"/>
    <w:rsid w:val="00CC1877"/>
    <w:rsid w:val="00E844B1"/>
    <w:rsid w:val="00ED4E4D"/>
    <w:rsid w:val="00EE77E9"/>
    <w:rsid w:val="00FC52D6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E4D"/>
    <w:pPr>
      <w:ind w:left="720"/>
      <w:contextualSpacing/>
    </w:pPr>
  </w:style>
  <w:style w:type="character" w:styleId="a4">
    <w:name w:val="Hyperlink"/>
    <w:rsid w:val="00A32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E4D"/>
    <w:pPr>
      <w:ind w:left="720"/>
      <w:contextualSpacing/>
    </w:pPr>
  </w:style>
  <w:style w:type="character" w:styleId="a4">
    <w:name w:val="Hyperlink"/>
    <w:rsid w:val="00A3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45E16491BFE346E77E30440BCDAFB9A2FC3950BE697AB8E7A91BBB79FE3EDC0860A8932B95652b507G" TargetMode="External"/><Relationship Id="rId13" Type="http://schemas.openxmlformats.org/officeDocument/2006/relationships/hyperlink" Target="consultantplus://offline/ref=C0C45E16491BFE346E77E30440BCDAFB9A2FC3950BE697AB8E7A91BBB79FE3EDC0860A8932B95652b507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0C45E16491BFE346E77E30440BCDAFB9A2FC3950BE697AB8E7A91BBB79FE3EDC0860A8932B95652b507G" TargetMode="External"/><Relationship Id="rId12" Type="http://schemas.openxmlformats.org/officeDocument/2006/relationships/hyperlink" Target="consultantplus://offline/ref=C0C45E16491BFE346E77E30440BCDAFB9A2FC3950BE697AB8E7A91BBB79FE3EDC0860A8932B95652b507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C45E16491BFE346E77E30440BCDAFB9A2FC3950BE697AB8E7A91BBB79FE3EDC0860A8932B95652b507G" TargetMode="External"/><Relationship Id="rId11" Type="http://schemas.openxmlformats.org/officeDocument/2006/relationships/hyperlink" Target="consultantplus://offline/ref=C0C45E16491BFE346E77E30440BCDAFB9A2FC3950BE697AB8E7A91BBB79FE3EDC0860A8932B95652b50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0C45E16491BFE346E77E30440BCDAFB9A2FC3950BE697AB8E7A91BBB79FE3EDC0860A8932B95652b50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C45E16491BFE346E77E30440BCDAFB9A2FC3950BE697AB8E7A91BBB79FE3EDC0860A8932B95652b50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042B-5A1A-4105-BBDD-D93A7B9F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Геннадьевич</dc:creator>
  <cp:keywords/>
  <dc:description/>
  <cp:lastModifiedBy>Хлыновский Андрей Сергеевич</cp:lastModifiedBy>
  <cp:revision>7</cp:revision>
  <dcterms:created xsi:type="dcterms:W3CDTF">2016-04-18T11:29:00Z</dcterms:created>
  <dcterms:modified xsi:type="dcterms:W3CDTF">2016-04-19T07:40:00Z</dcterms:modified>
</cp:coreProperties>
</file>