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849"/>
        <w:gridCol w:w="4574"/>
        <w:gridCol w:w="4573"/>
        <w:gridCol w:w="4574"/>
      </w:tblGrid>
      <w:tr>
        <w:trPr>
          <w:cantSplit w:val="true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Пункт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Текст проекта ГОСТ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Предлагаемый текст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Примечания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2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ГОСТ 21.101―97* проектной документации для строительства. Основные требования к проектной и рабочей документации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ГОСТ 21.101―97* </w:t>
            </w:r>
            <w:r>
              <w:rPr>
                <w:b/>
                <w:bCs/>
                <w:highlight w:val="yellow"/>
              </w:rPr>
              <w:t>Система</w:t>
            </w:r>
            <w:r>
              <w:rPr/>
              <w:t xml:space="preserve"> проектной документации для строительства. Основные требования к проектной и рабочей документации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Пропущено слово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3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В настоящем стандарте применены термины по ГОСТ 21.001) а также следующие термины с соответствующими определениями: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В настоящем стандарте применены термины по ГОСТ 21.001</w:t>
            </w:r>
            <w:r>
              <w:rPr>
                <w:b/>
                <w:bCs/>
                <w:highlight w:val="yellow"/>
              </w:rPr>
              <w:t>,</w:t>
            </w:r>
            <w:r>
              <w:rPr/>
              <w:t xml:space="preserve"> а также следующие термины с соответствующими определениями: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Скобка вместо запятой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3.2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магистральные тепловые сети: Тепловые сети (со всеми сопутствующими конструкциями и сооружениями), транспортирующие горячую воду, пар, конденсат водяного пара, от выходной запорной арматуры (исключая ее) источника теплоты до первой запорной арматуры (включая ее) в тепловых пунктах;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магистральные тепловые сети: Тепловые сети (со всеми сопутствующими конструкциями и сооружениями), транспортирующие горячую воду, пар, конденсат водяного пара, от выходной запорной арматуры (исключая ее) источника теплоты до первой запорной арматуры (включая ее) в тепловых пунктах</w:t>
            </w:r>
            <w:r>
              <w:rPr>
                <w:b/>
                <w:bCs/>
                <w:highlight w:val="yellow"/>
              </w:rPr>
              <w:t>, либо до ответвления к ИТП в УТ</w:t>
            </w:r>
            <w:r>
              <w:rPr/>
              <w:t>;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При предложенной первоначально формулировке ответвление в УТ без расходомера тоже будет магистральной сетью.</w:t>
            </w:r>
          </w:p>
          <w:p>
            <w:pPr>
              <w:pStyle w:val="TableContents"/>
              <w:rPr/>
            </w:pPr>
            <w:r>
              <w:rPr/>
              <w:t>По хорошему, даже ответвления не к ИТП, а просто к группе домов тоже должно быть границей магистральных сетей – относиться уже к распределительным.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4.2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- ситуационный план;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- ситуационный план </w:t>
            </w:r>
            <w:r>
              <w:rPr>
                <w:b/>
                <w:bCs/>
                <w:highlight w:val="yellow"/>
              </w:rPr>
              <w:t xml:space="preserve">(может быть приведён </w:t>
            </w:r>
            <w:r>
              <w:rPr>
                <w:b/>
                <w:bCs/>
                <w:highlight w:val="yellow"/>
              </w:rPr>
              <w:t xml:space="preserve">на листе </w:t>
            </w:r>
            <w:r>
              <w:rPr>
                <w:b/>
                <w:bCs/>
                <w:highlight w:val="yellow"/>
              </w:rPr>
              <w:t>(в составе)</w:t>
            </w:r>
            <w:r>
              <w:rPr>
                <w:b/>
                <w:bCs/>
                <w:highlight w:val="yellow"/>
              </w:rPr>
              <w:t xml:space="preserve"> ОД)</w:t>
            </w:r>
            <w:r>
              <w:rPr/>
              <w:t>;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Ниже, в разделе 5.1, указано, что в состав ОД при необходимости включают ситуационный план сетей. Уточнение в данном пункте исключает толкование, что речь идёт о каком-то другом плане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4.2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- рабочие чертежи, предназначенные для производства строительно-монтажных работ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???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Непонятно, что именно включается в это понятие. Имеются ввиду элементы ППР?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4.5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- для проектируемых и существующих трубопроводов – наружный диаметр и толщину стенки;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- для проектируемых и существующих трубопроводов – </w:t>
            </w:r>
            <w:r>
              <w:rPr>
                <w:b/>
                <w:bCs/>
                <w:highlight w:val="yellow"/>
              </w:rPr>
              <w:t>знак Ø,</w:t>
            </w:r>
            <w:r>
              <w:rPr/>
              <w:t xml:space="preserve"> на</w:t>
            </w:r>
            <w:r>
              <w:rPr/>
              <w:t>ружный диаметр и толщину стенки;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Текст приведён в соответствие с исправленными иллюстрациями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4.6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Элементам сетей: узлам трубопроводов (местами с ответвлениями, секционирующими задвижками, дренажными устройствами, сальниковыми и сильфонными компенсаторами, опуском труб, пересечениями коммуникаций), компенсаторам, неподвижным опорам, поворотам трассы присваивают обозначения, состоящие из марки</w:t>
            </w:r>
            <w:r>
              <w:rPr>
                <w:b/>
                <w:bCs/>
                <w:strike/>
                <w:highlight w:val="yellow"/>
              </w:rPr>
              <w:t>, принимаемой по таблице 1,</w:t>
            </w:r>
            <w:r>
              <w:rPr/>
              <w:t xml:space="preserve"> и порядкового номера по маркам (например, УТ5, Н12, УП8). Нумерацию элементов сетей начинают от источника тепловой энергии или границы проектирования. Для магистральных сетей допускается применять сквозную нумерацию элементов сетей без маркировки.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Элементам сетей: узлам трубопроводов (местами с ответвлениями, секционирующими задвижками, дренажными устройствами, сальниковыми и сильфонными компенсаторами, опуском труб, пересечениями коммуникаций), компенсаторам, неподвижным опорам, поворотам трассы присваивают обозначения, состоящие из марки и порядкового номера по маркам (например, УТ5, Н12, УП8). </w:t>
            </w:r>
            <w:r>
              <w:rPr>
                <w:b/>
                <w:bCs/>
                <w:highlight w:val="yellow"/>
              </w:rPr>
              <w:t>Рекомендуемые марки элементов сетей приведены в таблице 1.</w:t>
            </w:r>
            <w:r>
              <w:rPr/>
              <w:t xml:space="preserve"> Нумерацию элементов сетей начинают от источника тепловой энергии или границы проектирования. Для магистральных сетей допускается применять сквозную нумерацию элементов сетей без маркировки.</w:t>
            </w:r>
          </w:p>
          <w:p>
            <w:pPr>
              <w:pStyle w:val="TableContents"/>
              <w:rPr>
                <w:b/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ru-RU"/>
              </w:rPr>
              <w:t>Таблица</w:t>
            </w:r>
            <w:r>
              <w:rPr>
                <w:b/>
                <w:bCs/>
                <w:highlight w:val="yellow"/>
                <w:lang w:val="en-US"/>
              </w:rPr>
              <w:t xml:space="preserve"> 1</w:t>
            </w:r>
          </w:p>
          <w:p>
            <w:pPr>
              <w:pStyle w:val="TableContents"/>
              <w:rPr>
                <w:b/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t>&lt;</w:t>
            </w:r>
            <w:r>
              <w:rPr>
                <w:b/>
                <w:bCs/>
                <w:highlight w:val="yellow"/>
                <w:lang w:val="ru-RU"/>
              </w:rPr>
              <w:t>Таблица</w:t>
            </w:r>
            <w:r>
              <w:rPr>
                <w:b/>
                <w:bCs/>
                <w:highlight w:val="yellow"/>
                <w:lang w:val="en-US"/>
              </w:rPr>
              <w:t>&gt;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4.7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з</w:t>
            </w:r>
            <w:r>
              <w:rPr>
                <w:b/>
                <w:bCs/>
                <w:strike/>
                <w:highlight w:val="yellow"/>
              </w:rPr>
              <w:t>п</w:t>
            </w:r>
            <w:r>
              <w:rPr/>
              <w:t>апятой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запятой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О</w:t>
            </w:r>
            <w:r>
              <w:rPr/>
              <w:t>печатка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4.7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Числовое значение углов поворота указывают в градусах с точностью до одной минуты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Числовое значение углов поворота указывают в градусах </w:t>
            </w:r>
            <w:r>
              <w:rPr>
                <w:b/>
                <w:bCs/>
                <w:highlight w:val="yellow"/>
              </w:rPr>
              <w:t>и минутах</w:t>
            </w:r>
            <w:r>
              <w:rPr/>
              <w:t xml:space="preserve"> с точностью до одной минуты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Б</w:t>
            </w:r>
            <w:r>
              <w:rPr/>
              <w:t xml:space="preserve">ез данного уточнения возможно написание в десятичных долях градуса, с последующей путаницей при чтении – </w:t>
            </w:r>
            <w:r>
              <w:rPr/>
              <w:t>исправлено в соответствии с п.4.9 ГОСТ 2.307.2011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strike/>
                <w:highlight w:val="yellow"/>
              </w:rPr>
            </w:pPr>
            <w:r>
              <w:rPr>
                <w:strike/>
                <w:highlight w:val="yellow"/>
              </w:rPr>
              <w:t>4.8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strike/>
                <w:highlight w:val="yellow"/>
              </w:rPr>
            </w:pPr>
            <w:r>
              <w:rPr>
                <w:strike/>
                <w:highlight w:val="yellow"/>
              </w:rPr>
              <w:t xml:space="preserve">Рекомендуемые обозначения элементов сетей приведены в таблице 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И</w:t>
            </w:r>
            <w:r>
              <w:rPr/>
              <w:t>сключить пункт; текст пункта перенести в пункт 4.6, после которого привести соответствующую таблицу (см. выше предложение по п.4.6).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Табл.1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Наименование элемента</w:t>
            </w:r>
          </w:p>
          <w:p>
            <w:pPr>
              <w:pStyle w:val="TableContents"/>
              <w:rPr/>
            </w:pPr>
            <w:r>
              <w:rPr>
                <w:b/>
                <w:bCs/>
                <w:strike/>
                <w:highlight w:val="yellow"/>
              </w:rPr>
              <w:t>А</w:t>
            </w:r>
            <w:r>
              <w:rPr/>
              <w:t>сети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Наименование элемента</w:t>
            </w:r>
          </w:p>
          <w:p>
            <w:pPr>
              <w:pStyle w:val="TableContents"/>
              <w:rPr/>
            </w:pPr>
            <w:r>
              <w:rPr/>
              <w:t>сети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О</w:t>
            </w:r>
            <w:r>
              <w:rPr/>
              <w:t>печатка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Табл.1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П-образны</w:t>
            </w:r>
            <w:r>
              <w:rPr>
                <w:b/>
                <w:bCs/>
                <w:highlight w:val="yellow"/>
              </w:rPr>
              <w:t>е</w:t>
            </w:r>
            <w:r>
              <w:rPr/>
              <w:t xml:space="preserve"> компенсатор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П-образны</w:t>
            </w:r>
            <w:r>
              <w:rPr>
                <w:b/>
                <w:bCs/>
                <w:highlight w:val="yellow"/>
              </w:rPr>
              <w:t>й</w:t>
            </w:r>
            <w:r>
              <w:rPr/>
              <w:t xml:space="preserve"> компенсатор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О</w:t>
            </w:r>
            <w:r>
              <w:rPr/>
              <w:t>печатка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Табл.1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Осевой </w:t>
            </w:r>
            <w:r>
              <w:rPr>
                <w:b/>
                <w:bCs/>
                <w:strike/>
                <w:highlight w:val="yellow"/>
              </w:rPr>
              <w:t>(сильфонный)</w:t>
            </w:r>
            <w:r>
              <w:rPr/>
              <w:t xml:space="preserve"> компенсатор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Осевой компенсатор </w:t>
            </w:r>
            <w:r>
              <w:rPr>
                <w:b/>
                <w:bCs/>
                <w:highlight w:val="yellow"/>
              </w:rPr>
              <w:t>(например, сильфонный)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Ниже есть уточняющее обозначение для сальникового (также осевого) компенсатора; кроме того, возможны и другие конструкции — например, линзовый.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Табл.1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Сальниковый (телескопический)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Сальниковый (телескопический) </w:t>
            </w:r>
            <w:r>
              <w:rPr>
                <w:b/>
                <w:bCs/>
                <w:highlight w:val="yellow"/>
              </w:rPr>
              <w:t>компенсатор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О</w:t>
            </w:r>
            <w:r>
              <w:rPr/>
              <w:t>беспечить единообразие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Табл.1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Опора </w:t>
            </w:r>
            <w:r>
              <w:rPr>
                <w:b/>
                <w:bCs/>
                <w:strike/>
                <w:highlight w:val="yellow"/>
              </w:rPr>
              <w:t>скользящая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Опора </w:t>
            </w:r>
            <w:r>
              <w:rPr>
                <w:b/>
                <w:bCs/>
                <w:highlight w:val="yellow"/>
              </w:rPr>
              <w:t>подвижная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Иначе придётся вводить отдельные марки и нумерацию для катковых, шариковых… и потом вносить исправления при изменении типа опоры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4.11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strike/>
                <w:highlight w:val="yellow"/>
              </w:rPr>
            </w:pPr>
            <w:r>
              <w:rPr>
                <w:b/>
                <w:bCs/>
                <w:strike/>
                <w:highlight w:val="yellow"/>
              </w:rPr>
              <w:t>Рекомендуемые обозначения элементов сетей приведены в таблице 2.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Масштабы изображений на чертежах рекомендуется принимать в соответствии с таблицей 2.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Текст пункта был ошибочно скопирован из п.4.8. В предлагаемом нами варианте, в отличие от текста п.1.7 ГОСТ 21.605-82, масштабы рекомендуются </w:t>
            </w:r>
            <w:r>
              <w:rPr/>
              <w:t>(по аналогии с пунктом 4.7 проекта ГОСТ 21.606-2015)</w:t>
            </w:r>
            <w:r>
              <w:rPr/>
              <w:t>. Если это неприемлемо, просто привести к тексту п.1.7 ГОСТ 21.605-82.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4.11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Масштаб изображения указывают в графе 4 основной надписи, выполняемой по форме 3 </w:t>
            </w:r>
            <w:r>
              <w:rPr>
                <w:b/>
                <w:bCs/>
                <w:strike/>
                <w:highlight w:val="yellow"/>
              </w:rPr>
              <w:t>ГОСТ 21.101-</w:t>
            </w:r>
            <w:r>
              <w:rPr/>
              <w:t xml:space="preserve"> обязательного приложения Д  ГОСТ21.101.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Масштаб изображения указывают в графе 4 основной надписи, выполняемой по форме 3 обязательного приложения Д ГОСТ</w:t>
            </w:r>
            <w:r>
              <w:rPr>
                <w:highlight w:val="yellow"/>
              </w:rPr>
              <w:t xml:space="preserve"> </w:t>
            </w:r>
            <w:r>
              <w:rPr/>
              <w:t>21.101.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4.12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В этом случае на каждом листе, где показаны участки плана или профиля, приводят схему целого изображения с разбивкой его на участки.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В этом случае на каждом листе, где показаны участки плана или профиля, приводят схему целого изображения </w:t>
            </w:r>
            <w:r>
              <w:rPr>
                <w:b/>
                <w:bCs/>
                <w:highlight w:val="yellow"/>
              </w:rPr>
              <w:t>в виде п</w:t>
            </w:r>
            <w:r>
              <w:rPr>
                <w:b/>
                <w:bCs/>
                <w:highlight w:val="yellow"/>
              </w:rPr>
              <w:t>лана</w:t>
            </w:r>
            <w:r>
              <w:rPr/>
              <w:t xml:space="preserve"> с разбивкой его на участки.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Не вполне понятно, следует ли на профилях приводить схему целого изображения </w:t>
            </w:r>
            <w:r>
              <w:rPr>
                <w:u w:val="single"/>
              </w:rPr>
              <w:t>профилей</w:t>
            </w:r>
            <w:r>
              <w:rPr/>
              <w:t>, и как это сделать для ветвящихся сетей. Предлагаю уточнить.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4.12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а в графе 4 основной надписи (форма 3 </w:t>
            </w:r>
            <w:r>
              <w:rPr>
                <w:b/>
                <w:bCs/>
                <w:strike/>
                <w:highlight w:val="yellow"/>
              </w:rPr>
              <w:t>ГОСТ 21.101 обязательное приложение</w:t>
            </w:r>
            <w:r>
              <w:rPr/>
              <w:t xml:space="preserve">   приводят наименование показываемого участка, например, с привязкой к пикетам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а в графе 4 основной надписи (форма 3 </w:t>
            </w:r>
            <w:r>
              <w:rPr>
                <w:b/>
                <w:bCs/>
                <w:highlight w:val="yellow"/>
              </w:rPr>
              <w:t>обязательного приложения Д ГОСТ 21.101</w:t>
            </w:r>
            <w:r>
              <w:rPr>
                <w:b/>
                <w:bCs/>
                <w:highlight w:val="yellow"/>
              </w:rPr>
              <w:t>)</w:t>
            </w:r>
            <w:r>
              <w:rPr/>
              <w:t xml:space="preserve"> приводят наименование показываемого участка, например, с привязкой к пикетам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5.1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В состав общих данных по рабочим чертежам тепловых сетей (далее – сети) в дополнение к сведениям, предусмотренным  ГОСТ </w:t>
            </w:r>
            <w:r>
              <w:rPr>
                <w:b/>
                <w:bCs/>
                <w:strike/>
                <w:highlight w:val="yellow"/>
              </w:rPr>
              <w:t>Р</w:t>
            </w:r>
            <w:r>
              <w:rPr/>
              <w:t>101  включают: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В состав общих данных по рабочим чертежам тепловых сетей (далее – сети) в дополнение к сведениям, предусмотренным ГОСТ </w:t>
            </w:r>
            <w:r>
              <w:rPr>
                <w:b/>
                <w:bCs/>
                <w:highlight w:val="yellow"/>
              </w:rPr>
              <w:t>21.</w:t>
            </w:r>
            <w:r>
              <w:rPr/>
              <w:t>101</w:t>
            </w:r>
            <w:r>
              <w:rPr>
                <w:b/>
                <w:bCs/>
                <w:highlight w:val="yellow"/>
              </w:rPr>
              <w:t>,</w:t>
            </w:r>
            <w:r>
              <w:rPr/>
              <w:t xml:space="preserve"> включают: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w w:val="80"/>
              </w:rPr>
            </w:pPr>
            <w:r>
              <w:rPr>
                <w:w w:val="80"/>
              </w:rPr>
              <w:t>Форма 1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Расчётный тепловой поток; МВт </w:t>
            </w:r>
            <w:r>
              <w:rPr>
                <w:b/>
                <w:bCs/>
                <w:strike/>
                <w:highlight w:val="yellow"/>
              </w:rPr>
              <w:t>(Гкал/ч)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Расчётный тепловой поток; МВт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Предлагаем у</w:t>
            </w:r>
            <w:r>
              <w:rPr/>
              <w:t>брать внесистемные единицы из ГОСТ. Это призовёт пользоваться системными единицами, аналогично принятому в чертежах ОВ. Те, кому это необходимо, всё равно будут приводить Гкал/ч, но по крайней мере это будет рассматриваться как отступление от ГОСТ.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5.4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- ссылки на нормативные документы, по которым произведен расчет сетей;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- ссылки на нормативные документы, по которым </w:t>
            </w:r>
            <w:r>
              <w:rPr>
                <w:b/>
                <w:bCs/>
                <w:highlight w:val="yellow"/>
              </w:rPr>
              <w:t>при разработке рабочей документации</w:t>
            </w:r>
            <w:r>
              <w:rPr/>
              <w:t xml:space="preserve"> произведен расчет сетей;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Уточнение для того, чтобы не приводить ссылки на расчёты, производимые в проектной документации </w:t>
            </w:r>
            <w:r>
              <w:rPr/>
              <w:t>(например, гидравлический)</w:t>
            </w:r>
            <w:r>
              <w:rPr/>
              <w:t xml:space="preserve">. В т.ч. потому, что проектная документация могла быть разработана другой организацией, </w:t>
            </w:r>
            <w:r>
              <w:rPr/>
              <w:t>а расчёты не представлены в соответствии с ГОСТ 21.101</w:t>
            </w:r>
            <w:r>
              <w:rPr/>
              <w:t>.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5.</w:t>
            </w:r>
            <w:r>
              <w:rPr/>
              <w:t>4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- перечень документов о согласовании со всеми заинтересованными организациями;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???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Здесь </w:t>
            </w:r>
            <w:r>
              <w:rPr/>
              <w:t xml:space="preserve">(как и в действующем ГОСТе) </w:t>
            </w:r>
            <w:r>
              <w:rPr/>
              <w:t>не вполне понятно, о каких документах речь.</w:t>
            </w:r>
          </w:p>
          <w:p>
            <w:pPr>
              <w:pStyle w:val="TableContents"/>
              <w:rPr/>
            </w:pPr>
            <w:r>
              <w:rPr/>
              <w:t xml:space="preserve">Например, в Хабаровске для получения разрешения на проведение земляных работ заказчик представляет </w:t>
            </w:r>
            <w:r>
              <w:rPr/>
              <w:t>в администрацию</w:t>
            </w:r>
            <w:r>
              <w:rPr/>
              <w:t xml:space="preserve"> первый лист плана, на котором собраны согласования заинтересованных сторон (лист согласований). Никаких дополнительных документов (ТУ, писем и т. п.) может не быть. Причём для согласований заинтересованным организациям предоставляется готовый комплект рабочей документации, на котором, естественно, ещё нет никаких данных о согласованиях. Как быть в этом случае, и нужна ли запись в ОД, если всё приведено на плане?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9.3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1 В строке «Уклон, ‰; длина, м» таблицы (сетки) прямолинейные участки трубопровода показывают линиями с наклоном, </w:t>
            </w:r>
            <w:r>
              <w:rPr>
                <w:b/>
                <w:bCs/>
                <w:strike/>
                <w:highlight w:val="yellow"/>
              </w:rPr>
              <w:t>соответствующим</w:t>
            </w:r>
            <w:r>
              <w:rPr/>
              <w:t xml:space="preserve"> наклону участка на профиле, при этом над линией указывают числовое значение уклона, под линией – длину участка с этим уклоном. 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1 В строке «Уклон, ‰; длина, м» таблицы (сетки) прямолинейные участки трубопровода показывают линиями с наклоном, </w:t>
            </w:r>
            <w:r>
              <w:rPr>
                <w:b/>
                <w:bCs/>
                <w:highlight w:val="yellow"/>
              </w:rPr>
              <w:t>направление которого соответствует</w:t>
            </w:r>
            <w:r>
              <w:rPr/>
              <w:t xml:space="preserve"> наклону участка на профиле, при этом над линией указывают числовое значение уклона, под линией – длину участка с этим уклоном. 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Уточнение из серии занудства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10.2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Допускается планы и разрезы однотипных П-образных компенсаторов выполнять в виде одного </w:t>
            </w:r>
            <w:r>
              <w:rPr>
                <w:b/>
                <w:bCs/>
                <w:strike/>
                <w:highlight w:val="yellow"/>
              </w:rPr>
              <w:t>чертежа</w:t>
            </w:r>
            <w:r>
              <w:rPr/>
              <w:t xml:space="preserve"> без масштаба, при этом размеры и характеристики компенсаторов приводят в таблице по форме 4.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Допускается планы и разрезы однотипных П-образных компенсаторов выполнять в виде одного </w:t>
            </w:r>
            <w:r>
              <w:rPr>
                <w:b/>
                <w:bCs/>
                <w:highlight w:val="yellow"/>
              </w:rPr>
              <w:t>эскиза</w:t>
            </w:r>
            <w:r>
              <w:rPr/>
              <w:t xml:space="preserve"> без масштаба, при этом размеры и характеристики компенсаторов приводят </w:t>
            </w:r>
            <w:r>
              <w:rPr>
                <w:b/>
                <w:bCs/>
                <w:highlight w:val="yellow"/>
              </w:rPr>
              <w:t>вместе с эскизом</w:t>
            </w:r>
            <w:r>
              <w:rPr/>
              <w:t xml:space="preserve"> в таблице по форме 4.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Хотелось бы уточнить: этот пункт значит, что достаточно эскиза в первом столбце таблицы? Тогда следует это указать явно.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10.5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На чертежах узлов трубопроводов </w:t>
            </w:r>
            <w:r>
              <w:rPr>
                <w:b/>
                <w:bCs/>
                <w:strike/>
                <w:highlight w:val="yellow"/>
              </w:rPr>
              <w:t>приводят</w:t>
            </w:r>
            <w:r>
              <w:rPr/>
              <w:t xml:space="preserve"> спецификацию на оборудование, компенса</w:t>
              <w:softHyphen/>
              <w:t>торы, арматуру, элементы трубопроводов. Если на чертеже размещены изо</w:t>
              <w:softHyphen/>
              <w:t>бражения нескольких узлов, спецификацию для них составляют общую, разделяя соответствующими подзаголовками.</w:t>
            </w:r>
          </w:p>
          <w:p>
            <w:pPr>
              <w:pStyle w:val="TableContents"/>
              <w:rPr>
                <w:b/>
                <w:b/>
                <w:bCs/>
                <w:strike/>
                <w:highlight w:val="yellow"/>
              </w:rPr>
            </w:pPr>
            <w:r>
              <w:rPr>
                <w:b/>
                <w:bCs/>
                <w:strike/>
                <w:highlight w:val="yellow"/>
              </w:rPr>
              <w:t>Номера позиций соответствующих элементов на чертежах, в спецификации на чертежах узлов и в спецификации оборудования, изделий и материалов по ГОСТ 21.110 должны быть одинаковыми.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На чертежах узлов трубопроводов </w:t>
            </w:r>
            <w:r>
              <w:rPr>
                <w:b/>
                <w:bCs/>
                <w:highlight w:val="yellow"/>
              </w:rPr>
              <w:t>допускается приводить</w:t>
            </w:r>
            <w:r>
              <w:rPr/>
              <w:t xml:space="preserve"> спецификацию на оборудование, компенсаторы, арматуру, элементы трубопроводов. Если на чертеже размещены изображения нескольких узлов, спецификацию для них составляют общую, разделяя соответствующими подзаголовками.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Нужно гармонизировать этот пункт с остальными стандартами СПДС, где допускается не приводить такую спецификацию, а позиции, во-первых, не обязаны быть номерами, а во-вторых, не обязаны соответствовать между спецификацией на листе и общей спецификацией. </w:t>
            </w:r>
            <w:r>
              <w:rPr/>
              <w:t>Например, для того, чтобы сделать локальную нумерацию позиций на листе, и при изменении позиций в общей спецификации не было необходимости менять все листы, где такая позиция появилась.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11.3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Трубопроводы в разделах спецификации записывают по каждому диаметру.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???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Непонятно, о чём речь. Составлять отдельные разделы спецификации на каждый диаметр???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12.3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В наименовании опросного листа (габаритного чертежа) указывают его обозначение или порядковый номер в пределах выпуска.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???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Ранее (п.12.2) указано, что у опросника есть отдельно обозначение, отдельно наименование. Здесь указано, что наименование – это обозначение.</w:t>
            </w:r>
          </w:p>
          <w:p>
            <w:pPr>
              <w:pStyle w:val="TableContents"/>
              <w:rPr/>
            </w:pPr>
            <w:r>
              <w:rPr/>
              <w:t xml:space="preserve">Да и вообще, что такое «в наименовании указывают»? Может быть, имеется ввиду какая-то графа основной надписи? Тогда где требование размещать опросники на форме по ГОСТ 21.101? </w:t>
            </w:r>
            <w:r>
              <w:rPr/>
              <w:t>Где на самом опроснике указать его обозначение?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12.4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- изменения в опросные листы (габаритные чертежи) вносят </w:t>
            </w:r>
            <w:r>
              <w:rPr>
                <w:b/>
                <w:bCs/>
                <w:strike/>
                <w:highlight w:val="yellow"/>
              </w:rPr>
              <w:t>самостоятельно</w:t>
            </w:r>
            <w:r>
              <w:rPr/>
              <w:t xml:space="preserve"> в пределах каждого опросного листа (габаритного чертежа);</w:t>
            </w:r>
          </w:p>
        </w:tc>
        <w:tc>
          <w:tcPr>
            <w:tcW w:w="45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- изменения в опросные листы (габаритные чертежи) вносят </w:t>
            </w:r>
            <w:r>
              <w:rPr>
                <w:b/>
                <w:bCs/>
                <w:highlight w:val="yellow"/>
              </w:rPr>
              <w:t>индивидуально</w:t>
            </w:r>
            <w:r>
              <w:rPr/>
              <w:t xml:space="preserve"> в пределах каждого опросного листа (габаритного чертежа);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Не совсем понятно, что имелось ввиду. Постарался исправить в соответствии со своим пониманием написанного. «Самостоятельность» связана больше с дееспособностью...</w:t>
            </w:r>
          </w:p>
        </w:tc>
      </w:tr>
      <w:tr>
        <w:trPr>
          <w:cantSplit w:val="true"/>
        </w:trPr>
        <w:tc>
          <w:tcPr>
            <w:tcW w:w="8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Приложения</w:t>
            </w:r>
          </w:p>
        </w:tc>
        <w:tc>
          <w:tcPr>
            <w:tcW w:w="1372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В связи с тем, что узнали о проводи</w:t>
            </w:r>
            <w:r>
              <w:rPr/>
              <w:t>вшемся</w:t>
            </w:r>
            <w:r>
              <w:rPr/>
              <w:t xml:space="preserve"> обсуждении слишком поздно, не успели приготовить варианты рисунков. Хотелось бы, в частности, предложить вариант с расширенным боковиком профиля, где уклоны/длины не раздроблены, а объединены для всего участка с одним уклоном, </w:t>
            </w:r>
            <w:r>
              <w:rPr/>
              <w:t>и</w:t>
            </w:r>
            <w:r>
              <w:rPr/>
              <w:t xml:space="preserve"> добавлена строка с расстоянием, по аналогии с чертежами ГСН, </w:t>
            </w:r>
            <w:r>
              <w:rPr/>
              <w:t>НВК</w:t>
            </w:r>
            <w:r>
              <w:rPr/>
              <w:t>.</w:t>
            </w:r>
          </w:p>
          <w:p>
            <w:pPr>
              <w:pStyle w:val="TableContents"/>
              <w:rPr/>
            </w:pPr>
            <w:r>
              <w:rPr/>
              <w:t>Хотелось бы обозначения масштабов на профиле видеть так:</w:t>
            </w:r>
          </w:p>
          <w:p>
            <w:pPr>
              <w:pStyle w:val="TableContents"/>
              <w:rPr/>
            </w:pPr>
            <w:r>
              <w:rPr/>
              <w:t>М</w:t>
            </w:r>
            <w:r>
              <w:rPr>
                <w:vertAlign w:val="subscript"/>
              </w:rPr>
              <w:t>гор</w:t>
            </w:r>
            <w:r>
              <w:rPr>
                <w:vertAlign w:val="subscript"/>
              </w:rPr>
              <w:t>из</w:t>
            </w:r>
            <w:r>
              <w:rPr>
                <w:vertAlign w:val="subscript"/>
              </w:rPr>
              <w:tab/>
            </w:r>
            <w:r>
              <w:rPr/>
              <w:t>1:500</w:t>
            </w:r>
          </w:p>
          <w:p>
            <w:pPr>
              <w:pStyle w:val="TableContents"/>
              <w:rPr/>
            </w:pPr>
            <w:r>
              <w:rPr/>
              <w:t>М</w:t>
            </w:r>
            <w:r>
              <w:rPr>
                <w:vertAlign w:val="subscript"/>
              </w:rPr>
              <w:t>верт</w:t>
              <w:tab/>
            </w:r>
            <w:r>
              <w:rPr/>
              <w:t>1:100</w:t>
            </w:r>
          </w:p>
          <w:p>
            <w:pPr>
              <w:pStyle w:val="TableContents"/>
              <w:rPr/>
            </w:pPr>
            <w:r>
              <w:rPr/>
              <w:t xml:space="preserve">Это позволит использовать </w:t>
            </w:r>
            <w:r>
              <w:rPr/>
              <w:t>привычное обозначение</w:t>
            </w:r>
            <w:r>
              <w:rPr/>
              <w:t xml:space="preserve"> М и сделает запись более «стандартной», а не выглядящей по типу «</w:t>
            </w:r>
            <w:r>
              <w:rPr/>
              <w:t>висящих</w:t>
            </w:r>
            <w:r>
              <w:rPr/>
              <w:t>» примечаний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default"/>
  </w:font>
  <w:font w:name="GOST Type BU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GOST Type BU" w:hAnsi="GOST Type BU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GOST Type BU" w:hAnsi="GOST Type BU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139</TotalTime>
  <Application>LibreOffice/5.0.2.2$Windows_X86_64 LibreOffice_project/37b43f919e4de5eeaca9b9755ed688758a8251fe</Application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2015-10-16T12:22:10Z</dcterms:created>
  <dc:creator>Михаил Каганский</dc:creator>
  <dc:language>ru-RU</dc:language>
  <cp:lastModifiedBy>Михаил Каганский</cp:lastModifiedBy>
  <dcterms:modified xsi:type="dcterms:W3CDTF">2015-10-16T15:32:18Z</dcterms:modified>
  <cp:revision>57</cp:revision>
</cp:coreProperties>
</file>