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О.1 - Коэффициенты перехода от касательного одометрического модуля к штамповому модулю для глин</w:t>
      </w:r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709"/>
        <w:gridCol w:w="709"/>
        <w:gridCol w:w="758"/>
        <w:gridCol w:w="709"/>
        <w:gridCol w:w="708"/>
        <w:gridCol w:w="709"/>
        <w:gridCol w:w="1100"/>
        <w:gridCol w:w="1701"/>
      </w:tblGrid>
      <w:tr w:rsidR="00C6251B" w:rsidRPr="00C6251B" w:rsidTr="0038611C">
        <w:trPr>
          <w:trHeight w:val="540"/>
          <w:jc w:val="center"/>
        </w:trPr>
        <w:tc>
          <w:tcPr>
            <w:tcW w:w="2395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Разновидности глин (показатель текучести  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, д.е. )</w:t>
            </w:r>
          </w:p>
        </w:tc>
        <w:tc>
          <w:tcPr>
            <w:tcW w:w="5402" w:type="dxa"/>
            <w:gridSpan w:val="7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коэффициента перехода 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 при коэффициенте пористости е, равном</w:t>
            </w:r>
          </w:p>
        </w:tc>
        <w:tc>
          <w:tcPr>
            <w:tcW w:w="1701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= f(e)</w:t>
            </w:r>
          </w:p>
        </w:tc>
      </w:tr>
      <w:tr w:rsidR="00C6251B" w:rsidRPr="00C6251B" w:rsidTr="0038611C">
        <w:trPr>
          <w:trHeight w:val="540"/>
          <w:jc w:val="center"/>
        </w:trPr>
        <w:tc>
          <w:tcPr>
            <w:tcW w:w="2395" w:type="dxa"/>
            <w:vMerge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0.45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0.55</w:t>
            </w:r>
          </w:p>
        </w:tc>
        <w:tc>
          <w:tcPr>
            <w:tcW w:w="75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0.65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0.75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0.85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0.95</w:t>
            </w:r>
          </w:p>
        </w:tc>
        <w:tc>
          <w:tcPr>
            <w:tcW w:w="11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1.05</w:t>
            </w:r>
          </w:p>
        </w:tc>
        <w:tc>
          <w:tcPr>
            <w:tcW w:w="1701" w:type="dxa"/>
            <w:vMerge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95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Мягкопластичные 0.50 &lt; 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lang w:eastAsia="ru-RU"/>
              </w:rPr>
              <w:t xml:space="preserve"> ≤ 0.75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1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70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+ 1,045</w:t>
            </w: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95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Тугопластичные        0.25 &lt;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I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lang w:eastAsia="ru-RU"/>
              </w:rPr>
              <w:t xml:space="preserve"> ≤ 0.50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5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70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+ 1,35</w:t>
            </w:r>
          </w:p>
        </w:tc>
      </w:tr>
      <w:tr w:rsidR="00C6251B" w:rsidRPr="00C6251B" w:rsidTr="0038611C">
        <w:trPr>
          <w:trHeight w:val="459"/>
          <w:jc w:val="center"/>
        </w:trPr>
        <w:tc>
          <w:tcPr>
            <w:tcW w:w="2395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Gungsuh" w:hAnsi="Times New Roman" w:cs="Times New Roman"/>
                <w:lang w:eastAsia="ru-RU"/>
              </w:rPr>
              <w:t xml:space="preserve">Полутвердые                 0 ≤ </w:t>
            </w:r>
            <w:r w:rsidRPr="00C6251B">
              <w:rPr>
                <w:rFonts w:ascii="Times New Roman" w:eastAsia="Gungsuh" w:hAnsi="Times New Roman" w:cs="Times New Roman"/>
                <w:i/>
                <w:lang w:eastAsia="ru-RU"/>
              </w:rPr>
              <w:t xml:space="preserve"> I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lang w:eastAsia="ru-RU"/>
              </w:rPr>
              <w:t xml:space="preserve"> ≤ 0.25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5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1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70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1,85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+ 1,0</w:t>
            </w:r>
          </w:p>
        </w:tc>
      </w:tr>
      <w:tr w:rsidR="00C6251B" w:rsidRPr="00C6251B" w:rsidTr="0038611C">
        <w:trPr>
          <w:trHeight w:val="483"/>
          <w:jc w:val="center"/>
        </w:trPr>
        <w:tc>
          <w:tcPr>
            <w:tcW w:w="2395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Твердые                         </w:t>
            </w:r>
            <w:r w:rsidRPr="00C6251B">
              <w:rPr>
                <w:rFonts w:ascii="Times New Roman" w:eastAsia="Times New Roman" w:hAnsi="Times New Roman" w:cs="Times New Roman"/>
                <w:i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 xml:space="preserve"> &lt; 0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5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1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70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= 2,57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+ 0,186</w:t>
            </w:r>
          </w:p>
        </w:tc>
      </w:tr>
    </w:tbl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О.2 - Коэффициенты перехода от касательного одометрического модуля к штамповому модулю для суглинков</w:t>
      </w:r>
    </w:p>
    <w:tbl>
      <w:tblPr>
        <w:tblW w:w="9634" w:type="dxa"/>
        <w:jc w:val="center"/>
        <w:tblInd w:w="-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708"/>
        <w:gridCol w:w="709"/>
        <w:gridCol w:w="709"/>
        <w:gridCol w:w="709"/>
        <w:gridCol w:w="708"/>
        <w:gridCol w:w="709"/>
        <w:gridCol w:w="709"/>
        <w:gridCol w:w="2372"/>
      </w:tblGrid>
      <w:tr w:rsidR="00C6251B" w:rsidRPr="00C6251B" w:rsidTr="0038611C">
        <w:trPr>
          <w:trHeight w:val="540"/>
          <w:jc w:val="center"/>
        </w:trPr>
        <w:tc>
          <w:tcPr>
            <w:tcW w:w="2301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Разновидности суглинков (показатель текучести 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д.е. )</w:t>
            </w:r>
          </w:p>
        </w:tc>
        <w:tc>
          <w:tcPr>
            <w:tcW w:w="4961" w:type="dxa"/>
            <w:gridSpan w:val="7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коэффициента перехода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коэффициенте пористости е, равном</w:t>
            </w:r>
          </w:p>
        </w:tc>
        <w:tc>
          <w:tcPr>
            <w:tcW w:w="2372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= f(e)</w:t>
            </w:r>
          </w:p>
        </w:tc>
      </w:tr>
      <w:tr w:rsidR="00C6251B" w:rsidRPr="00C6251B" w:rsidTr="0038611C">
        <w:trPr>
          <w:trHeight w:val="140"/>
          <w:jc w:val="center"/>
        </w:trPr>
        <w:tc>
          <w:tcPr>
            <w:tcW w:w="2301" w:type="dxa"/>
            <w:vMerge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2372" w:type="dxa"/>
            <w:vMerge/>
            <w:tcBorders>
              <w:bottom w:val="single" w:sz="4" w:space="0" w:color="000000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Мягкопластичные 0.50 &lt;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 xml:space="preserve"> ≤ 0.75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-0,679 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+ 2,54</w:t>
            </w: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Тугопластичные        0.25 &lt;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 xml:space="preserve"> ≤ 0.50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0,32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+ 2,23</w:t>
            </w: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 xml:space="preserve">Полутвердые                 0 ≤  </w:t>
            </w:r>
            <w:r w:rsidRPr="00C6251B">
              <w:rPr>
                <w:rFonts w:ascii="Times New Roman" w:eastAsia="Gungsuh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6251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≤ 0.25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1,286 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+ 1,88</w:t>
            </w: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Твердые                        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2,11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+ 1,691</w:t>
            </w:r>
          </w:p>
        </w:tc>
      </w:tr>
    </w:tbl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О.3 - Коэффициенты перехода от касательного одометрического модуля к штамповому модулю для супесей</w:t>
      </w:r>
    </w:p>
    <w:tbl>
      <w:tblPr>
        <w:tblW w:w="9637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700"/>
        <w:gridCol w:w="708"/>
        <w:gridCol w:w="709"/>
        <w:gridCol w:w="709"/>
        <w:gridCol w:w="709"/>
        <w:gridCol w:w="708"/>
        <w:gridCol w:w="709"/>
        <w:gridCol w:w="2124"/>
      </w:tblGrid>
      <w:tr w:rsidR="00C6251B" w:rsidRPr="00C6251B" w:rsidTr="0038611C">
        <w:trPr>
          <w:trHeight w:val="540"/>
          <w:jc w:val="center"/>
        </w:trPr>
        <w:tc>
          <w:tcPr>
            <w:tcW w:w="2561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Разновидности супесей (показатель текучести 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д.е. )</w:t>
            </w:r>
          </w:p>
        </w:tc>
        <w:tc>
          <w:tcPr>
            <w:tcW w:w="4952" w:type="dxa"/>
            <w:gridSpan w:val="7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коэффициента перехода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коэффициенте пористости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е,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равном</w:t>
            </w:r>
          </w:p>
        </w:tc>
        <w:tc>
          <w:tcPr>
            <w:tcW w:w="2124" w:type="dxa"/>
            <w:vMerge w:val="restart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= f(e)</w:t>
            </w:r>
          </w:p>
        </w:tc>
      </w:tr>
      <w:tr w:rsidR="00C6251B" w:rsidRPr="00C6251B" w:rsidTr="0038611C">
        <w:trPr>
          <w:trHeight w:val="140"/>
          <w:jc w:val="center"/>
        </w:trPr>
        <w:tc>
          <w:tcPr>
            <w:tcW w:w="2561" w:type="dxa"/>
            <w:vMerge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2124" w:type="dxa"/>
            <w:vMerge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51B" w:rsidRPr="00C6251B" w:rsidTr="0038611C">
        <w:trPr>
          <w:trHeight w:val="540"/>
          <w:jc w:val="center"/>
        </w:trPr>
        <w:tc>
          <w:tcPr>
            <w:tcW w:w="256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Пластичные</w:t>
            </w:r>
          </w:p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&lt;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 xml:space="preserve"> ≤ 1.00</w:t>
            </w:r>
          </w:p>
        </w:tc>
        <w:tc>
          <w:tcPr>
            <w:tcW w:w="7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4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-0,457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+ 2,62</w:t>
            </w:r>
          </w:p>
        </w:tc>
      </w:tr>
      <w:tr w:rsidR="00C6251B" w:rsidRPr="00C6251B" w:rsidTr="0038611C">
        <w:trPr>
          <w:trHeight w:val="520"/>
          <w:jc w:val="center"/>
        </w:trPr>
        <w:tc>
          <w:tcPr>
            <w:tcW w:w="2561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Твердые                         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L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0</w:t>
            </w:r>
          </w:p>
        </w:tc>
        <w:tc>
          <w:tcPr>
            <w:tcW w:w="700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8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9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4" w:type="dxa"/>
            <w:vAlign w:val="center"/>
          </w:tcPr>
          <w:p w:rsidR="00C6251B" w:rsidRPr="00C6251B" w:rsidRDefault="00C6251B" w:rsidP="00C6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</w:t>
            </w:r>
            <w:r w:rsidRPr="00C6251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 w:eastAsia="ru-RU"/>
              </w:rPr>
              <w:t>ko</w:t>
            </w:r>
            <w:r w:rsidRPr="00C6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0,629</w:t>
            </w:r>
            <w:r w:rsidRPr="00C62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62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+ 2,79</w:t>
            </w:r>
          </w:p>
        </w:tc>
      </w:tr>
    </w:tbl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О.6 Нормативное значение модуля деформации </w:t>
      </w:r>
      <w:r w:rsidRPr="00C6251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Е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соответствующее значению штампового модуля деформации, определяют по формуле</w:t>
      </w:r>
    </w:p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2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Е</w:t>
      </w:r>
      <w:r w:rsidRPr="00C6251B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= m</w:t>
      </w:r>
      <w:r w:rsidRPr="00C6251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de-DE" w:eastAsia="ru-RU"/>
        </w:rPr>
        <w:t>ko ·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oed</m:t>
            </m:r>
          </m:sub>
          <m:sup>
            <m:r>
              <w:rPr>
                <w:rFonts w:ascii="Cambria Math" w:hAnsi="Cambria Math"/>
                <w:vertAlign w:val="superscript"/>
                <w:lang w:val="en-US"/>
              </w:rPr>
              <m:t>k</m:t>
            </m:r>
          </m:sup>
        </m:sSubSup>
        <m:r>
          <w:rPr>
            <w:rFonts w:ascii="Cambria Math" w:hAnsi="Cambria Math"/>
            <w:lang w:val="de-DE"/>
          </w:rPr>
          <m:t xml:space="preserve"> </m:t>
        </m:r>
      </m:oMath>
      <w:r w:rsidRPr="00C625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                                            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val="de-DE" w:eastAsia="ru-RU"/>
        </w:rPr>
        <w:t>(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val="de-DE" w:eastAsia="ru-RU"/>
        </w:rPr>
        <w:t>.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val="de-DE" w:eastAsia="ru-RU"/>
        </w:rPr>
        <w:t>)</w:t>
      </w:r>
    </w:p>
    <w:p w:rsidR="00C6251B" w:rsidRPr="00C6251B" w:rsidRDefault="00C6251B" w:rsidP="00C625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О.7 Нормативное значение модуля деформации </w:t>
      </w:r>
      <w:r w:rsidRPr="00C6251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Е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определять и напрямую без использования коэффициента </w:t>
      </w:r>
      <w:r w:rsidRPr="00C62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</w:t>
      </w:r>
      <w:r w:rsidRPr="00C6251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ko</w:t>
      </w:r>
      <w:r w:rsidRPr="00C6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уравнений корреляционных связей, представленных в таблице О.4. </w:t>
      </w:r>
    </w:p>
    <w:p w:rsidR="000B5120" w:rsidRDefault="000B5120">
      <w:bookmarkStart w:id="0" w:name="_GoBack"/>
      <w:bookmarkEnd w:id="0"/>
    </w:p>
    <w:sectPr w:rsidR="000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1B"/>
    <w:rsid w:val="000B5120"/>
    <w:rsid w:val="00C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Ставицкий</dc:creator>
  <cp:lastModifiedBy>Сергей Юрьевич Ставицкий</cp:lastModifiedBy>
  <cp:revision>1</cp:revision>
  <dcterms:created xsi:type="dcterms:W3CDTF">2018-10-23T06:34:00Z</dcterms:created>
  <dcterms:modified xsi:type="dcterms:W3CDTF">2018-10-23T06:35:00Z</dcterms:modified>
</cp:coreProperties>
</file>