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Отзыв на первую  редакцию проекта стандарта</w:t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ГОСТ Р</w:t>
      </w:r>
    </w:p>
    <w:p>
      <w:pPr>
        <w:pStyle w:val="Normal"/>
        <w:widowControl w:val="false"/>
        <w:shd w:val="clear" w:color="auto" w:fill="FFFFFF"/>
        <w:spacing w:lineRule="auto" w:line="360"/>
        <w:ind w:right="-108" w:firstLine="284"/>
        <w:jc w:val="center"/>
        <w:rPr/>
      </w:pPr>
      <w:r>
        <w:rPr>
          <w:rFonts w:eastAsia="Calibri" w:cs="Arial"/>
          <w:b/>
          <w:spacing w:val="-1"/>
          <w:sz w:val="28"/>
          <w:szCs w:val="28"/>
          <w:highlight w:val="white"/>
          <w:lang w:eastAsia="en-US"/>
        </w:rPr>
        <w:t>СРЕДСТВА ДЕРАТИЗАЦИОНН</w:t>
      </w:r>
      <w:bookmarkStart w:id="0" w:name="__DdeLink__3569_391623690"/>
      <w:r>
        <w:rPr>
          <w:rFonts w:eastAsia="Calibri" w:cs="Arial"/>
          <w:b/>
          <w:color w:val="000000"/>
          <w:spacing w:val="-1"/>
          <w:sz w:val="28"/>
          <w:szCs w:val="28"/>
          <w:highlight w:val="white"/>
          <w:lang w:eastAsia="en-US"/>
        </w:rPr>
        <w:t>ЫЕ</w:t>
      </w:r>
    </w:p>
    <w:p>
      <w:pPr>
        <w:pStyle w:val="Normal"/>
        <w:spacing w:lineRule="auto" w:line="276"/>
        <w:jc w:val="center"/>
        <w:rPr/>
      </w:pPr>
      <w:bookmarkEnd w:id="0"/>
      <w:r>
        <w:rPr>
          <w:rFonts w:eastAsia="Calibri" w:cs="Arial"/>
          <w:b/>
          <w:spacing w:val="-1"/>
          <w:sz w:val="28"/>
          <w:szCs w:val="28"/>
          <w:highlight w:val="white"/>
          <w:lang w:eastAsia="en-US"/>
        </w:rPr>
        <w:t>Общие технические требования</w:t>
      </w:r>
    </w:p>
    <w:p>
      <w:pPr>
        <w:pStyle w:val="Normal"/>
        <w:spacing w:lineRule="auto" w:line="276"/>
        <w:jc w:val="center"/>
        <w:rPr>
          <w:rFonts w:ascii="Times New Roman" w:hAnsi="Times New Roman" w:eastAsia="Calibri" w:cs="Times New Roman"/>
          <w:b/>
          <w:b/>
          <w:spacing w:val="-1"/>
          <w:sz w:val="28"/>
          <w:szCs w:val="28"/>
          <w:highlight w:val="white"/>
          <w:lang w:eastAsia="en-US"/>
        </w:rPr>
      </w:pPr>
      <w:r>
        <w:rPr>
          <w:rFonts w:eastAsia="Calibri" w:cs="Times New Roman" w:ascii="Times New Roman" w:hAnsi="Times New Roman"/>
          <w:b/>
          <w:spacing w:val="-1"/>
          <w:sz w:val="28"/>
          <w:szCs w:val="28"/>
          <w:highlight w:val="white"/>
          <w:lang w:eastAsia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5150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3975"/>
        <w:gridCol w:w="6286"/>
        <w:gridCol w:w="4889"/>
      </w:tblGrid>
      <w:tr>
        <w:trPr>
          <w:tblHeader w:val="true"/>
        </w:trPr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Структурный элемент стандарта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Замечание, предложение</w:t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Предлагаемая редакция</w:t>
            </w:r>
          </w:p>
        </w:tc>
      </w:tr>
      <w:tr>
        <w:trPr/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700" w:leader="none"/>
              </w:tabs>
              <w:snapToGrid w:val="false"/>
              <w:spacing w:lineRule="auto" w:line="360" w:before="240" w:after="160"/>
              <w:ind w:hanging="0"/>
              <w:jc w:val="both"/>
              <w:outlineLvl w:val="0"/>
              <w:rPr>
                <w:color w:val="000000"/>
                <w:highlight w:val="white"/>
              </w:rPr>
            </w:pPr>
            <w:r>
              <w:rPr>
                <w:rFonts w:cs="Arial"/>
                <w:b w:val="false"/>
                <w:bCs w:val="false"/>
                <w:color w:val="000000"/>
                <w:highlight w:val="white"/>
              </w:rPr>
              <w:t xml:space="preserve">Раздел 3 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left" w:pos="700" w:leader="none"/>
              </w:tabs>
              <w:snapToGrid w:val="false"/>
              <w:spacing w:lineRule="auto" w:line="360" w:before="240" w:after="160"/>
              <w:ind w:hanging="0"/>
              <w:jc w:val="both"/>
              <w:outlineLvl w:val="0"/>
              <w:rPr>
                <w:color w:val="000000"/>
                <w:highlight w:val="white"/>
              </w:rPr>
            </w:pPr>
            <w:r>
              <w:rPr>
                <w:rFonts w:cs="Arial"/>
                <w:b w:val="false"/>
                <w:bCs w:val="false"/>
                <w:color w:val="000000"/>
                <w:highlight w:val="white"/>
              </w:rPr>
              <w:t>Средства дератизационные химические (СДХ) - химические   средства для умерщвления и  отпугивания грызунов, а также химические средства, повышающие привлекательность и эффективность родентицидов и средств отлова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Style15"/>
              <w:spacing w:lineRule="auto" w:line="36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highlight w:val="white"/>
              </w:rPr>
            </w:pPr>
            <w:r>
              <w:rPr>
                <w:rFonts w:cs="Arial"/>
                <w:b w:val="false"/>
                <w:bCs w:val="false"/>
                <w:i/>
                <w:color w:val="000000"/>
                <w:highlight w:val="white"/>
              </w:rPr>
              <w:t>Указанные в разделе СДХ, исходя из определения р.3,  включают слишком широкий спектр  химической продукции, используемой в дератизации (репелленты, аттрактанты, синергисты ). Предлагаю ограничить СД в данном ГОСТе химическими средствами, вызывающими гибель грызунов и добавить к ним микробиологические средства, вызывающие гибель грызунов. Объединенное название таких средств — родентициды.</w:t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Style15"/>
              <w:numPr>
                <w:ilvl w:val="0"/>
                <w:numId w:val="0"/>
              </w:numPr>
              <w:shd w:val="clear" w:color="auto" w:fill="F4E7D6"/>
              <w:snapToGrid w:val="false"/>
              <w:spacing w:lineRule="auto" w:line="360" w:before="0" w:after="0"/>
              <w:ind w:firstLine="709"/>
              <w:jc w:val="both"/>
              <w:outlineLvl w:val="1"/>
              <w:rPr>
                <w:rFonts w:ascii="Arial;serif" w:hAnsi="Arial;serif" w:eastAsia="Times New Roman" w:cs="Arial"/>
                <w:i/>
                <w:i/>
              </w:rPr>
            </w:pPr>
            <w:r>
              <w:rPr>
                <w:rFonts w:eastAsia="Times New Roman" w:cs="Arial" w:ascii="Arial;serif" w:hAnsi="Arial;serif"/>
                <w:i/>
              </w:rPr>
            </w:r>
          </w:p>
        </w:tc>
      </w:tr>
      <w:tr>
        <w:trPr/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700" w:leader="none"/>
              </w:tabs>
              <w:snapToGrid w:val="false"/>
              <w:spacing w:lineRule="auto" w:line="360" w:before="240" w:after="160"/>
              <w:ind w:hanging="0"/>
              <w:jc w:val="both"/>
              <w:outlineLvl w:val="0"/>
              <w:rPr>
                <w:color w:val="000000"/>
                <w:highlight w:val="white"/>
              </w:rPr>
            </w:pPr>
            <w:r>
              <w:rPr>
                <w:rFonts w:cs="Arial"/>
                <w:b/>
                <w:bCs/>
                <w:color w:val="000000"/>
                <w:highlight w:val="white"/>
              </w:rPr>
              <w:t xml:space="preserve">Раздел 3 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left" w:pos="700" w:leader="none"/>
              </w:tabs>
              <w:snapToGrid w:val="false"/>
              <w:spacing w:lineRule="auto" w:line="360" w:before="240" w:after="160"/>
              <w:ind w:hanging="0"/>
              <w:jc w:val="both"/>
              <w:outlineLvl w:val="0"/>
              <w:rPr>
                <w:color w:val="000000"/>
                <w:highlight w:val="white"/>
              </w:rPr>
            </w:pPr>
            <w:r>
              <w:rPr>
                <w:rFonts w:cs="Arial"/>
                <w:b/>
                <w:bCs/>
                <w:color w:val="000000"/>
                <w:highlight w:val="white"/>
              </w:rPr>
              <w:t>Родентицид (родентицидное средство)</w:t>
            </w:r>
            <w:r>
              <w:rPr>
                <w:rFonts w:cs="Arial"/>
                <w:b w:val="false"/>
                <w:bCs w:val="false"/>
                <w:color w:val="000000"/>
                <w:highlight w:val="white"/>
              </w:rPr>
              <w:t xml:space="preserve"> – СДХ (действующее вещество, формы его применения), предназначенное для уничтожения  грызунов 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Style15"/>
              <w:spacing w:lineRule="auto" w:line="360" w:before="0" w:after="0"/>
              <w:jc w:val="both"/>
              <w:rPr>
                <w:rFonts w:ascii="Arial;serif" w:hAnsi="Arial;serif"/>
                <w:i/>
                <w:i/>
              </w:rPr>
            </w:pPr>
            <w:r>
              <w:rPr>
                <w:rFonts w:ascii="Arial;serif" w:hAnsi="Arial;serif"/>
                <w:i/>
              </w:rPr>
            </w:r>
          </w:p>
          <w:p>
            <w:pPr>
              <w:pStyle w:val="Style15"/>
              <w:tabs>
                <w:tab w:val="left" w:pos="700" w:leader="none"/>
              </w:tabs>
              <w:snapToGrid w:val="false"/>
              <w:spacing w:lineRule="auto" w:line="360" w:before="0" w:after="0"/>
              <w:ind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highlight w:val="white"/>
              </w:rPr>
            </w:pPr>
            <w:r>
              <w:rPr>
                <w:rFonts w:cs="Arial"/>
                <w:b w:val="false"/>
                <w:bCs w:val="false"/>
                <w:i/>
                <w:color w:val="000000"/>
                <w:highlight w:val="white"/>
              </w:rPr>
              <w:t xml:space="preserve"> </w:t>
            </w:r>
            <w:r>
              <w:rPr>
                <w:rFonts w:cs="Arial"/>
                <w:b w:val="false"/>
                <w:bCs w:val="false"/>
                <w:i/>
                <w:color w:val="000000"/>
                <w:highlight w:val="white"/>
              </w:rPr>
              <w:t>В настоящее время средство относят к родентицидам, и в том случае, если в качестве действующего агента используется культура возбудителей  болезни грызунов.</w:t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Style15"/>
              <w:numPr>
                <w:ilvl w:val="0"/>
                <w:numId w:val="0"/>
              </w:numPr>
              <w:shd w:val="clear" w:color="auto" w:fill="F4E7D6"/>
              <w:snapToGrid w:val="false"/>
              <w:spacing w:lineRule="auto" w:line="360" w:before="0" w:after="0"/>
              <w:ind w:firstLine="709"/>
              <w:jc w:val="both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Arial" w:ascii="Arial;serif" w:hAnsi="Arial;serif"/>
                <w:b/>
                <w:bCs w:val="false"/>
                <w:i/>
                <w:color w:val="000000"/>
                <w:sz w:val="24"/>
                <w:szCs w:val="24"/>
                <w:highlight w:val="white"/>
              </w:rPr>
              <w:t>3.2. Родентицид -</w:t>
            </w:r>
            <w:r>
              <w:rPr>
                <w:rFonts w:eastAsia="Times New Roman" w:cs="Arial" w:ascii="Arial;serif" w:hAnsi="Arial;serif"/>
                <w:b w:val="false"/>
                <w:bCs w:val="false"/>
                <w:i/>
                <w:color w:val="000000"/>
                <w:sz w:val="24"/>
                <w:szCs w:val="24"/>
                <w:highlight w:val="white"/>
              </w:rPr>
              <w:t xml:space="preserve"> СД химическое или микробиологическое, вызывающее гибель грызунов. </w:t>
            </w:r>
          </w:p>
        </w:tc>
      </w:tr>
      <w:tr>
        <w:trPr/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extn"/>
              <w:snapToGrid w:val="false"/>
              <w:spacing w:lineRule="auto" w:line="360" w:before="280" w:after="280"/>
              <w:ind w:firstLine="709"/>
              <w:contextualSpacing/>
              <w:jc w:val="both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cs="Arial"/>
                <w:color w:val="000000"/>
                <w:highlight w:val="white"/>
              </w:rPr>
            </w:r>
          </w:p>
          <w:p>
            <w:pPr>
              <w:pStyle w:val="Textn"/>
              <w:snapToGrid w:val="false"/>
              <w:spacing w:lineRule="auto" w:line="360" w:before="280" w:after="280"/>
              <w:ind w:firstLine="709"/>
              <w:contextualSpacing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  <w:color w:val="000000"/>
                <w:highlight w:val="white"/>
              </w:rPr>
              <w:t xml:space="preserve">4.5.1 Родентициды принимают партиями. Партией считают количество продукции одного наименования, изготовленное за смену, в потребительской таре одного вида и типа, сопровождаемое одним документом о качестве. </w:t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extn"/>
              <w:snapToGrid w:val="false"/>
              <w:spacing w:lineRule="auto" w:line="360" w:before="280" w:after="280"/>
              <w:ind w:firstLine="709"/>
              <w:contextualSpacing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  <w:color w:val="000000"/>
                <w:highlight w:val="white"/>
              </w:rPr>
              <w:t>На практике   производство продукции осуществляется  за несколько смен или других временных промежутков. Определяющий  показатель-  средство произведено по  одному стандарту ( ТУ,  техрегламенту, т. п.) . При этом допустима потребительская тара различных видов и типов (  например, канистра, бутыль, пакет различного объема для концентратов, или пакет, мешок, коробка для сыпучих форм).</w:t>
            </w:r>
          </w:p>
          <w:p>
            <w:pPr>
              <w:pStyle w:val="Textn"/>
              <w:snapToGrid w:val="false"/>
              <w:spacing w:lineRule="auto" w:line="360" w:before="280" w:after="280"/>
              <w:ind w:firstLine="709"/>
              <w:contextualSpacing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  <w:color w:val="000000"/>
                <w:highlight w:val="white"/>
              </w:rPr>
              <w:t>Кроме того, в настоящее время допускается к выпуску продукция одного наименования, но с различной пищевой основой и другими ингредиентами. Это следует учитывать при определении партии.</w:t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4E7D6"/>
              <w:snapToGrid w:val="false"/>
              <w:spacing w:lineRule="auto" w:line="240" w:before="0" w:after="0"/>
              <w:jc w:val="both"/>
              <w:outlineLvl w:val="1"/>
              <w:rPr>
                <w:rFonts w:ascii="Arial" w:hAnsi="Arial" w:eastAsia="Times New Roman" w:cs="Arial"/>
                <w:color w:val="000000"/>
                <w:highlight w:val="white"/>
              </w:rPr>
            </w:pPr>
            <w:r>
              <w:rPr>
                <w:rFonts w:eastAsia="Times New Roman" w:cs="Arial"/>
                <w:color w:val="000000"/>
                <w:highlight w:val="white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4E7D6"/>
              <w:snapToGrid w:val="false"/>
              <w:spacing w:lineRule="auto" w:line="240" w:before="0" w:after="0"/>
              <w:jc w:val="both"/>
              <w:outlineLvl w:val="1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Родентициды принимают партиями. Партией считают определенное количество продукции одного наименования, </w:t>
            </w:r>
            <w:r>
              <w:rPr>
                <w:rFonts w:eastAsia="Times New Roman" w:cs="Times New Roman" w:ascii="Verdana" w:hAnsi="Verdana"/>
                <w:b w:val="false"/>
                <w:bCs w:val="false"/>
                <w:i w:val="false"/>
                <w:caps w:val="false"/>
                <w:smallCaps w:val="false"/>
                <w:color w:val="000000"/>
                <w:sz w:val="24"/>
                <w:szCs w:val="24"/>
                <w:highlight w:val="white"/>
                <w:u w:val="none"/>
              </w:rPr>
              <w:t>однородной по компонентному составу и свойствам</w:t>
            </w:r>
            <w:r>
              <w:rPr>
                <w:rFonts w:eastAsia="Times New Roman" w:cs="Arial"/>
                <w:b w:val="false"/>
                <w:bCs w:val="false"/>
                <w:color w:val="000000"/>
                <w:sz w:val="24"/>
                <w:szCs w:val="24"/>
                <w:highlight w:val="white"/>
                <w:u w:val="none"/>
              </w:rPr>
              <w:t xml:space="preserve">, </w:t>
            </w:r>
            <w:r>
              <w:rPr>
                <w:rFonts w:eastAsia="Times New Roman" w:cs="Times New Roman" w:ascii="Verdana" w:hAnsi="Verdana"/>
                <w:b w:val="false"/>
                <w:bCs w:val="false"/>
                <w:color w:val="000000"/>
                <w:sz w:val="24"/>
                <w:szCs w:val="24"/>
                <w:highlight w:val="white"/>
                <w:u w:val="none"/>
              </w:rPr>
              <w:t>произведенной</w:t>
            </w:r>
            <w:r>
              <w:rPr>
                <w:rFonts w:eastAsia="Times New Roman" w:cs="Times New Roman" w:ascii="Verdana" w:hAnsi="Verdana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 одним изготовителем по одному  стандарту организации, и (или) иным документам изготовителя в определенный промежуток времени, </w:t>
            </w:r>
            <w:r>
              <w:rPr>
                <w:rFonts w:eastAsia="Times New Roman" w:cs="Arial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 xml:space="preserve"> сопровождаемое одним документом о качестве.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4E7D6"/>
              <w:snapToGrid w:val="false"/>
              <w:spacing w:lineRule="auto" w:line="240" w:before="0" w:after="0"/>
              <w:jc w:val="both"/>
              <w:outlineLvl w:val="1"/>
              <w:rPr>
                <w:rFonts w:ascii="Arial" w:hAnsi="Arial" w:eastAsia="Times New Roman" w:cs="Arial"/>
                <w:color w:val="000000"/>
                <w:highlight w:val="white"/>
              </w:rPr>
            </w:pPr>
            <w:r>
              <w:rPr>
                <w:rFonts w:eastAsia="Times New Roman" w:cs="Arial"/>
                <w:color w:val="000000"/>
                <w:highlight w:val="white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4E7D6"/>
              <w:snapToGrid w:val="false"/>
              <w:spacing w:lineRule="auto" w:line="240" w:before="0" w:after="0"/>
              <w:jc w:val="both"/>
              <w:outlineLvl w:val="1"/>
              <w:rPr>
                <w:rFonts w:ascii="Arial" w:hAnsi="Arial" w:eastAsia="Times New Roman" w:cs="Arial"/>
                <w:color w:val="000000"/>
                <w:highlight w:val="white"/>
              </w:rPr>
            </w:pPr>
            <w:r>
              <w:rPr>
                <w:rFonts w:eastAsia="Times New Roman" w:cs="Arial"/>
                <w:color w:val="000000"/>
                <w:highlight w:val="white"/>
              </w:rPr>
            </w:r>
          </w:p>
        </w:tc>
      </w:tr>
      <w:tr>
        <w:trPr/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ind w:left="-57" w:hanging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ind w:left="-57" w:hanging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3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ind w:left="-57" w:hanging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</w:rPr>
        <w:t xml:space="preserve">Составитель отзыва                        __________________           </w:t>
      </w:r>
      <w:r>
        <w:rPr>
          <w:rFonts w:cs="Times New Roman" w:ascii="Times New Roman" w:hAnsi="Times New Roman"/>
        </w:rPr>
        <w:t>Иваницкая Е. Г.</w:t>
      </w: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(                                                                                                                     (</w:t>
      </w:r>
      <w:r>
        <w:rPr>
          <w:rFonts w:cs="Times New Roman" w:ascii="Times New Roman" w:hAnsi="Times New Roman"/>
          <w:sz w:val="22"/>
          <w:szCs w:val="22"/>
        </w:rPr>
        <w:t>инициалы, фамилия)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719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altName w:val="serif"/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Arial" w:hAnsi="Arial" w:eastAsia="Times New Roman" w:cs="Arial"/>
      <w:color w:val="00000A"/>
      <w:sz w:val="24"/>
      <w:szCs w:val="24"/>
      <w:lang w:val="ru-RU" w:eastAsia="zh-CN" w:bidi="ar-SA"/>
    </w:rPr>
  </w:style>
  <w:style w:type="paragraph" w:styleId="2">
    <w:name w:val="Heading 2"/>
    <w:basedOn w:val="Normal"/>
    <w:next w:val="Normal"/>
    <w:qFormat/>
    <w:pPr>
      <w:keepNext/>
      <w:widowControl w:val="false"/>
      <w:numPr>
        <w:ilvl w:val="1"/>
        <w:numId w:val="1"/>
      </w:numPr>
      <w:spacing w:lineRule="auto" w:line="360"/>
      <w:ind w:firstLine="720"/>
      <w:jc w:val="both"/>
      <w:outlineLvl w:val="1"/>
      <w:outlineLvl w:val="1"/>
    </w:pPr>
    <w:rPr>
      <w:b/>
      <w:szCs w:val="28"/>
    </w:rPr>
  </w:style>
  <w:style w:type="character" w:styleId="Style13">
    <w:name w:val="Основной шрифт абзаца"/>
    <w:qFormat/>
    <w:rPr/>
  </w:style>
  <w:style w:type="character" w:styleId="21">
    <w:name w:val="Заголовок 2 Знак"/>
    <w:qFormat/>
    <w:rPr>
      <w:rFonts w:ascii="Arial" w:hAnsi="Arial" w:cs="Arial"/>
      <w:b/>
      <w:sz w:val="24"/>
      <w:szCs w:val="28"/>
      <w:lang w:val="ru-RU" w:bidi="ar-SA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Textn">
    <w:name w:val="textn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LibreOffice/5.1.4.2$Linux_X86_64 LibreOffice_project/10m0$Build-2</Application>
  <Pages>2</Pages>
  <Words>284</Words>
  <Characters>2059</Characters>
  <CharactersWithSpaces>2904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2013-01-15T08:30:00Z</dcterms:created>
  <dc:creator>kolesova</dc:creator>
  <dc:description/>
  <dc:language>ru-RU</dc:language>
  <cp:lastModifiedBy/>
  <dcterms:modified xsi:type="dcterms:W3CDTF">2018-10-04T14:33:36Z</dcterms:modified>
  <cp:revision>17</cp:revision>
  <dc:subject/>
  <dc:title/>
</cp:coreProperties>
</file>