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91" w:rsidRPr="003C0F91" w:rsidRDefault="003C0F91" w:rsidP="003C0F9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3C0F91">
        <w:rPr>
          <w:rFonts w:ascii="Calibri" w:eastAsia="Calibri" w:hAnsi="Calibri" w:cs="Times New Roman"/>
        </w:rPr>
        <w:t>Замечания и предложения</w:t>
      </w:r>
    </w:p>
    <w:p w:rsidR="003C0F91" w:rsidRPr="003C0F91" w:rsidRDefault="003C0F91" w:rsidP="003C0F91">
      <w:pPr>
        <w:spacing w:after="160" w:line="259" w:lineRule="auto"/>
        <w:jc w:val="center"/>
        <w:rPr>
          <w:rFonts w:ascii="Calibri" w:eastAsia="Calibri" w:hAnsi="Calibri" w:cs="Times New Roman"/>
        </w:rPr>
      </w:pPr>
      <w:r w:rsidRPr="003C0F91">
        <w:rPr>
          <w:rFonts w:ascii="Calibri" w:eastAsia="Calibri" w:hAnsi="Calibri" w:cs="Times New Roman"/>
        </w:rPr>
        <w:t>к проекту Стандарта «</w:t>
      </w:r>
      <w:proofErr w:type="gramStart"/>
      <w:r w:rsidRPr="003C0F91">
        <w:rPr>
          <w:rFonts w:ascii="Calibri" w:eastAsia="Calibri" w:hAnsi="Calibri" w:cs="Times New Roman"/>
        </w:rPr>
        <w:t>Стоимостной</w:t>
      </w:r>
      <w:proofErr w:type="gramEnd"/>
      <w:r w:rsidRPr="003C0F91">
        <w:rPr>
          <w:rFonts w:ascii="Calibri" w:eastAsia="Calibri" w:hAnsi="Calibri" w:cs="Times New Roman"/>
        </w:rPr>
        <w:t xml:space="preserve"> инжиниринг в строительстве. Термины и определения»</w:t>
      </w:r>
    </w:p>
    <w:p w:rsidR="003C0F91" w:rsidRPr="003C0F91" w:rsidRDefault="003C0F91" w:rsidP="003C0F91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81"/>
        <w:gridCol w:w="1483"/>
        <w:gridCol w:w="2535"/>
        <w:gridCol w:w="4352"/>
      </w:tblGrid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п</w:t>
            </w:r>
            <w:proofErr w:type="gramEnd"/>
            <w:r w:rsidRPr="003C0F91">
              <w:rPr>
                <w:rFonts w:ascii="Calibri" w:eastAsia="Calibri" w:hAnsi="Calibri" w:cs="Times New Roman"/>
                <w:lang w:val="en-US"/>
              </w:rPr>
              <w:t>/</w:t>
            </w:r>
            <w:r w:rsidRPr="003C0F91">
              <w:rPr>
                <w:rFonts w:ascii="Calibri" w:eastAsia="Calibri" w:hAnsi="Calibri" w:cs="Times New Roman"/>
              </w:rPr>
              <w:t>п</w:t>
            </w: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proofErr w:type="gramStart"/>
            <w:r w:rsidRPr="003C0F91">
              <w:rPr>
                <w:rFonts w:ascii="Calibri" w:eastAsia="Calibri" w:hAnsi="Calibri" w:cs="Times New Roman"/>
              </w:rPr>
              <w:t>Редакция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изложенная в проекте документа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Замечания и предложения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Обоснования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jc w:val="center"/>
              <w:rPr>
                <w:rFonts w:ascii="Calibri" w:eastAsia="Calibri" w:hAnsi="Calibri" w:cs="Times New Roman"/>
              </w:rPr>
            </w:pPr>
            <w:bookmarkStart w:id="0" w:name="_Hlk517027023"/>
            <w:r w:rsidRPr="003C0F91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Общее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Не все используемые в стандарте определения  соответствуют  специфике управления проектами, связанными  с выполнением работ по капитальному строительству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Например: в стандарте присутствуют определения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договоров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где контрагентами выступают Покупатель и Продавец; а предметом договора является товар. При этом отсутствуют определения Контрактов на выполнение проектно-изыскательских работ (далее ПИР), строительно-монтажных (далее СМР), выполнение функций технического Заказчика, контрактов «под ключ» и т.п., не отражена специфика и существующая практика оснований для корректировки фиксированной  цены. Отсутствуют понятия Инвестор, Технический заказчик или Заказчик-застройщик, проектная организация и т.д.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jc w:val="center"/>
              <w:rPr>
                <w:rFonts w:ascii="Calibri" w:eastAsia="Calibri" w:hAnsi="Calibri" w:cs="Times New Roman"/>
              </w:rPr>
            </w:pPr>
            <w:bookmarkStart w:id="1" w:name="_Hlk517028570"/>
            <w:bookmarkEnd w:id="0"/>
            <w:r w:rsidRPr="003C0F91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18 и пункт 20 по тексту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В указанных пунктах изложены 2 разных определения договоров, при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этом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по сути они не отличаются. Необходимо исключить одно из определений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Исключить лишнее определение, либо внести уточнение.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jc w:val="center"/>
              <w:rPr>
                <w:rFonts w:ascii="Calibri" w:eastAsia="Calibri" w:hAnsi="Calibri" w:cs="Times New Roman"/>
              </w:rPr>
            </w:pPr>
            <w:bookmarkStart w:id="2" w:name="OLE_LINK5"/>
            <w:bookmarkEnd w:id="1"/>
            <w:r w:rsidRPr="003C0F91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19 и пункт 21 по тексту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В указанных пунктах изложены 2 разных определения договоров, при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этом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по сути они не отличаются. Необходимо исключить одно из определений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Исключить лишнее определение, либо внести уточнение.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jc w:val="center"/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22 и пункт 25 по тексту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В указанных пунктах изложены 2 разных определения договоров, при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этом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по сути они не отличаются. Необходимо исключить одно из определений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Исключить лишнее определение, либо внести уточнение.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23 по тексту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Определение изложенное в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пункте</w:t>
            </w:r>
            <w:proofErr w:type="gramEnd"/>
            <w:r w:rsidRPr="003C0F91">
              <w:rPr>
                <w:rFonts w:ascii="Calibri" w:eastAsia="Calibri" w:hAnsi="Calibri" w:cs="Times New Roman"/>
              </w:rPr>
              <w:t xml:space="preserve"> по сути может  использоваться только по отношению к договорам купли-продажи, что и </w:t>
            </w:r>
            <w:r w:rsidRPr="003C0F91">
              <w:rPr>
                <w:rFonts w:ascii="Calibri" w:eastAsia="Calibri" w:hAnsi="Calibri" w:cs="Times New Roman"/>
              </w:rPr>
              <w:lastRenderedPageBreak/>
              <w:t>необходимо указать в определении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lastRenderedPageBreak/>
              <w:t>При реализации контрактов, например, на выполнение ПИР, СМР, «под ключ» возникает гораздо больше оснований для корректировки цены, при этом в них отсутствует понятие «товар».</w:t>
            </w:r>
          </w:p>
        </w:tc>
      </w:tr>
      <w:tr w:rsidR="003C0F91" w:rsidRPr="003C0F91" w:rsidTr="00241B05">
        <w:trPr>
          <w:trHeight w:val="152"/>
        </w:trPr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33 по тексу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привести в соответствие со статьей 22 ФЗ №44 от 05.04.2013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Искажен смысл термина: Начальная (максимальная) цена контракта и в предусмотренных Федеральным законом случаях цена контракта, заключаемого с единственным поставщиком (подрядчиком, исполнителем), определяются и обосновываются заказчиком посредством применения проектно-сметного метода;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bookmarkStart w:id="3" w:name="_Hlk517031189"/>
            <w:bookmarkEnd w:id="2"/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36:</w:t>
            </w:r>
          </w:p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«Отклонение по срокам»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Заменить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на</w:t>
            </w:r>
            <w:proofErr w:type="gramEnd"/>
            <w:r w:rsidRPr="003C0F91">
              <w:rPr>
                <w:rFonts w:ascii="Calibri" w:eastAsia="Calibri" w:hAnsi="Calibri" w:cs="Times New Roman"/>
              </w:rPr>
              <w:t>: «Отклонение по объему»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В большей степени отражает суть определения</w:t>
            </w: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bookmarkStart w:id="4" w:name="_Hlk517031116"/>
            <w:bookmarkEnd w:id="3"/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42: «Плановый объем»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Заменить </w:t>
            </w:r>
            <w:proofErr w:type="gramStart"/>
            <w:r w:rsidRPr="003C0F91">
              <w:rPr>
                <w:rFonts w:ascii="Calibri" w:eastAsia="Calibri" w:hAnsi="Calibri" w:cs="Times New Roman"/>
              </w:rPr>
              <w:t>на</w:t>
            </w:r>
            <w:proofErr w:type="gramEnd"/>
            <w:r w:rsidRPr="003C0F91">
              <w:rPr>
                <w:rFonts w:ascii="Calibri" w:eastAsia="Calibri" w:hAnsi="Calibri" w:cs="Times New Roman"/>
              </w:rPr>
              <w:t>: «Плановый объем затрат»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</w:tr>
      <w:bookmarkEnd w:id="4"/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Пункт 43: </w:t>
            </w:r>
            <w:bookmarkStart w:id="5" w:name="OLE_LINK16"/>
            <w:bookmarkStart w:id="6" w:name="OLE_LINK17"/>
            <w:r w:rsidRPr="003C0F91">
              <w:rPr>
                <w:rFonts w:ascii="Calibri" w:eastAsia="Calibri" w:hAnsi="Calibri" w:cs="Times New Roman"/>
              </w:rPr>
              <w:t>«Прогноз до завершения»</w:t>
            </w:r>
            <w:bookmarkEnd w:id="5"/>
            <w:bookmarkEnd w:id="6"/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«Прогноз затрат до завершения»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Пункт 44: </w:t>
            </w:r>
            <w:bookmarkStart w:id="7" w:name="OLE_LINK13"/>
            <w:bookmarkStart w:id="8" w:name="OLE_LINK14"/>
            <w:bookmarkStart w:id="9" w:name="OLE_LINK15"/>
            <w:r w:rsidRPr="003C0F91">
              <w:rPr>
                <w:rFonts w:ascii="Calibri" w:eastAsia="Calibri" w:hAnsi="Calibri" w:cs="Times New Roman"/>
              </w:rPr>
              <w:t>«Прогноз по завершении»</w:t>
            </w:r>
            <w:bookmarkEnd w:id="7"/>
            <w:bookmarkEnd w:id="8"/>
            <w:bookmarkEnd w:id="9"/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«Прогноз затрат по завершении»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 xml:space="preserve">Пункт 45: </w:t>
            </w:r>
            <w:bookmarkStart w:id="10" w:name="OLE_LINK10"/>
            <w:bookmarkStart w:id="11" w:name="OLE_LINK11"/>
            <w:bookmarkStart w:id="12" w:name="OLE_LINK12"/>
            <w:r w:rsidRPr="003C0F91">
              <w:rPr>
                <w:rFonts w:ascii="Calibri" w:eastAsia="Calibri" w:hAnsi="Calibri" w:cs="Times New Roman"/>
              </w:rPr>
              <w:t>«Процентная ставка»</w:t>
            </w:r>
            <w:bookmarkEnd w:id="10"/>
            <w:bookmarkEnd w:id="11"/>
            <w:bookmarkEnd w:id="12"/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«Процентная ставка по кредиту»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</w:tr>
      <w:tr w:rsidR="003C0F91" w:rsidRPr="003C0F91" w:rsidTr="00241B05">
        <w:tc>
          <w:tcPr>
            <w:tcW w:w="981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83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Пункт 49 по тексту</w:t>
            </w:r>
          </w:p>
        </w:tc>
        <w:tc>
          <w:tcPr>
            <w:tcW w:w="2535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  <w:r w:rsidRPr="003C0F91">
              <w:rPr>
                <w:rFonts w:ascii="Calibri" w:eastAsia="Calibri" w:hAnsi="Calibri" w:cs="Times New Roman"/>
              </w:rPr>
              <w:t>Привести в соответствие с п. 3.1 МДС 81-35.2004</w:t>
            </w:r>
          </w:p>
        </w:tc>
        <w:tc>
          <w:tcPr>
            <w:tcW w:w="4352" w:type="dxa"/>
          </w:tcPr>
          <w:p w:rsidR="003C0F91" w:rsidRPr="003C0F91" w:rsidRDefault="003C0F91" w:rsidP="003C0F91">
            <w:pPr>
              <w:rPr>
                <w:rFonts w:ascii="Calibri" w:eastAsia="Calibri" w:hAnsi="Calibri" w:cs="Times New Roman"/>
              </w:rPr>
            </w:pPr>
          </w:p>
        </w:tc>
      </w:tr>
    </w:tbl>
    <w:p w:rsidR="003C0F91" w:rsidRPr="003C0F91" w:rsidRDefault="003C0F91" w:rsidP="003C0F91">
      <w:pPr>
        <w:spacing w:after="160" w:line="259" w:lineRule="auto"/>
        <w:rPr>
          <w:rFonts w:ascii="Calibri" w:eastAsia="Calibri" w:hAnsi="Calibri" w:cs="Times New Roman"/>
        </w:rPr>
      </w:pPr>
    </w:p>
    <w:p w:rsidR="00CB3276" w:rsidRDefault="00CB3276">
      <w:bookmarkStart w:id="13" w:name="_GoBack"/>
      <w:bookmarkEnd w:id="13"/>
    </w:p>
    <w:sectPr w:rsidR="00CB3276" w:rsidSect="00F16D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26"/>
    <w:rsid w:val="003C0F91"/>
    <w:rsid w:val="004F4926"/>
    <w:rsid w:val="00CB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0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Савкунов Артем Григорьевич</dc:creator>
  <cp:keywords/>
  <dc:description/>
  <cp:lastModifiedBy>Савкунов Артем Григорьевич</cp:lastModifiedBy>
  <cp:revision>2</cp:revision>
  <dcterms:created xsi:type="dcterms:W3CDTF">2018-06-21T09:13:00Z</dcterms:created>
  <dcterms:modified xsi:type="dcterms:W3CDTF">2018-06-21T09:14:00Z</dcterms:modified>
</cp:coreProperties>
</file>