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48E" w:rsidRPr="009A71CC" w:rsidRDefault="00B42500">
      <w:pPr>
        <w:rPr>
          <w:i/>
          <w:sz w:val="32"/>
          <w:szCs w:val="32"/>
        </w:rPr>
      </w:pPr>
      <w:r w:rsidRPr="009A71CC">
        <w:rPr>
          <w:b/>
          <w:sz w:val="32"/>
          <w:szCs w:val="32"/>
        </w:rPr>
        <w:t>Раздел</w:t>
      </w:r>
      <w:r w:rsidRPr="009A71CC">
        <w:rPr>
          <w:sz w:val="32"/>
          <w:szCs w:val="32"/>
        </w:rPr>
        <w:t xml:space="preserve"> </w:t>
      </w:r>
      <w:r w:rsidRPr="009A71CC">
        <w:rPr>
          <w:i/>
          <w:sz w:val="32"/>
          <w:szCs w:val="32"/>
        </w:rPr>
        <w:t>Основные расчетные положения</w:t>
      </w:r>
    </w:p>
    <w:p w:rsidR="00B42500" w:rsidRPr="00B42500" w:rsidRDefault="00B42500"/>
    <w:p w:rsidR="00AB0DA3" w:rsidRPr="00985A51" w:rsidRDefault="00E724A7" w:rsidP="00A15B3A">
      <w:pPr>
        <w:jc w:val="both"/>
      </w:pPr>
      <w:r w:rsidRPr="00E724A7">
        <w:rPr>
          <w:b/>
        </w:rPr>
        <w:t>п.7.</w:t>
      </w:r>
      <w:r>
        <w:rPr>
          <w:b/>
        </w:rPr>
        <w:t>1</w:t>
      </w:r>
      <w:r w:rsidRPr="00E724A7">
        <w:rPr>
          <w:b/>
        </w:rPr>
        <w:t>.</w:t>
      </w:r>
      <w:r w:rsidR="0018584C" w:rsidRPr="00B6733B">
        <w:t xml:space="preserve"> </w:t>
      </w:r>
      <w:r w:rsidR="00A15B3A">
        <w:t>В данном пункте п</w:t>
      </w:r>
      <w:r w:rsidR="00B6733B" w:rsidRPr="00B6733B">
        <w:t xml:space="preserve">редлагается </w:t>
      </w:r>
      <w:r w:rsidR="00AB0DA3">
        <w:t>внести корректировку: «</w:t>
      </w:r>
      <w:r w:rsidR="00AB0DA3" w:rsidRPr="00AB0DA3">
        <w:t xml:space="preserve">Ледовые нагрузки на гидротехнические сооружения должны определяться на основе статистических данных о гидрометеорологических и ледовых условиях в районе расположения сооружения, исходя из </w:t>
      </w:r>
      <w:r w:rsidR="00AB0DA3" w:rsidRPr="00AB0DA3">
        <w:rPr>
          <w:strike/>
        </w:rPr>
        <w:t>их</w:t>
      </w:r>
      <w:r w:rsidR="00AB0DA3" w:rsidRPr="00AB0DA3">
        <w:t xml:space="preserve"> ежегодной вероятности превышения (обеспеченности)</w:t>
      </w:r>
      <w:r w:rsidR="00AB0DA3">
        <w:t xml:space="preserve"> </w:t>
      </w:r>
      <w:r w:rsidR="00AB0DA3" w:rsidRPr="00AB0DA3">
        <w:rPr>
          <w:i/>
          <w:u w:val="single"/>
        </w:rPr>
        <w:t>нагрузки</w:t>
      </w:r>
      <w:r w:rsidR="00AB0DA3" w:rsidRPr="00AB0DA3">
        <w:t xml:space="preserve">, </w:t>
      </w:r>
      <w:proofErr w:type="spellStart"/>
      <w:r w:rsidR="00AB0DA3" w:rsidRPr="00AB0DA3">
        <w:t>устанавливаем</w:t>
      </w:r>
      <w:r w:rsidR="00AB0DA3" w:rsidRPr="00AB0DA3">
        <w:rPr>
          <w:strike/>
        </w:rPr>
        <w:t>ых</w:t>
      </w:r>
      <w:r w:rsidR="00AB0DA3" w:rsidRPr="00AB0DA3">
        <w:rPr>
          <w:i/>
          <w:u w:val="single"/>
        </w:rPr>
        <w:t>ой</w:t>
      </w:r>
      <w:proofErr w:type="spellEnd"/>
      <w:r w:rsidR="00AB0DA3">
        <w:t xml:space="preserve"> </w:t>
      </w:r>
      <w:r w:rsidR="00AB0DA3" w:rsidRPr="00AB0DA3">
        <w:t>в зависимости от класса сооружений по таблице</w:t>
      </w:r>
      <w:r w:rsidR="00AB0DA3">
        <w:t xml:space="preserve"> 14».</w:t>
      </w:r>
      <w:r w:rsidR="00985A51">
        <w:t xml:space="preserve"> Иначе, если принимать, к примеру, толщину льда и его прочность </w:t>
      </w:r>
      <w:r w:rsidR="00CD3BF9">
        <w:t xml:space="preserve">с одинаковой </w:t>
      </w:r>
      <w:r w:rsidR="00985A51">
        <w:t xml:space="preserve">обеспеченностью 1,0% для класса сооружения </w:t>
      </w:r>
      <w:r w:rsidR="00985A51">
        <w:rPr>
          <w:lang w:val="en-US"/>
        </w:rPr>
        <w:t>III</w:t>
      </w:r>
      <w:r w:rsidR="00985A51" w:rsidRPr="00985A51">
        <w:t xml:space="preserve">, </w:t>
      </w:r>
      <w:r w:rsidR="00985A51">
        <w:rPr>
          <w:lang w:val="en-US"/>
        </w:rPr>
        <w:t>IV</w:t>
      </w:r>
      <w:r w:rsidR="00985A51" w:rsidRPr="00985A51">
        <w:t xml:space="preserve"> </w:t>
      </w:r>
      <w:r w:rsidR="00985A51">
        <w:t>будет переоценка нагрузки. Обычно принимается экстр</w:t>
      </w:r>
      <w:r w:rsidR="00CD3BF9">
        <w:t>е</w:t>
      </w:r>
      <w:r w:rsidR="00985A51">
        <w:t>мальная толщина льда обеспеченностью 1,0% и средняя многолетняя прочность льда, характерная для данного периода (или наоборот).</w:t>
      </w:r>
    </w:p>
    <w:p w:rsidR="00AB0DA3" w:rsidRDefault="00AB0DA3" w:rsidP="00A15B3A">
      <w:pPr>
        <w:jc w:val="both"/>
      </w:pPr>
    </w:p>
    <w:p w:rsidR="00B42500" w:rsidRDefault="00265901" w:rsidP="00A15B3A">
      <w:pPr>
        <w:jc w:val="both"/>
      </w:pPr>
      <w:r>
        <w:t>П</w:t>
      </w:r>
      <w:r w:rsidR="00A15B3A">
        <w:t>редложение «Нагрузки ото льда на сооружения определяются на период ледовых воздействий»</w:t>
      </w:r>
      <w:r w:rsidR="00AB0DA3">
        <w:t xml:space="preserve"> предлагается удалить ввиду его не информативности. </w:t>
      </w:r>
      <w:r w:rsidR="00985A51">
        <w:t xml:space="preserve">Или уточнить, ответив на </w:t>
      </w:r>
      <w:r w:rsidR="00AB0DA3">
        <w:t>вопрос: «На какой период ледовых воздействий?»</w:t>
      </w:r>
    </w:p>
    <w:p w:rsidR="00E724A7" w:rsidRDefault="00E724A7"/>
    <w:p w:rsidR="00F61438" w:rsidRDefault="00E724A7" w:rsidP="007A65A2">
      <w:pPr>
        <w:jc w:val="both"/>
      </w:pPr>
      <w:r w:rsidRPr="00E724A7">
        <w:rPr>
          <w:b/>
        </w:rPr>
        <w:t>п.7.2.</w:t>
      </w:r>
      <w:r>
        <w:rPr>
          <w:b/>
        </w:rPr>
        <w:t xml:space="preserve"> </w:t>
      </w:r>
      <w:r w:rsidR="00F61438">
        <w:rPr>
          <w:b/>
        </w:rPr>
        <w:t>Д</w:t>
      </w:r>
      <w:r>
        <w:t>анн</w:t>
      </w:r>
      <w:r w:rsidR="00F61438">
        <w:t xml:space="preserve">ый пункт не совсем информативен, так как </w:t>
      </w:r>
      <w:r w:rsidR="00F61438" w:rsidRPr="00F61438">
        <w:t>вместо классифика</w:t>
      </w:r>
      <w:r w:rsidR="00F61438">
        <w:t>ции основных групп исходных ледовых данных</w:t>
      </w:r>
      <w:r w:rsidR="00F61438" w:rsidRPr="00F61438">
        <w:t>, указаны случайные отдельные параметры (толщина льда, перепад температур и др.).</w:t>
      </w:r>
      <w:r w:rsidR="007A65A2">
        <w:t xml:space="preserve"> Предлагается данный пункт либо удалить, либо уточнить (например, с учетом основных ледовых характеристик, представленных в СП 11-114-2004) следующим образом:</w:t>
      </w:r>
    </w:p>
    <w:p w:rsidR="007A65A2" w:rsidRDefault="007A65A2" w:rsidP="007A65A2">
      <w:pPr>
        <w:jc w:val="both"/>
      </w:pPr>
      <w:r>
        <w:t>В число исходных данных, необходимых для расчета ледовых нагрузок, входят:</w:t>
      </w:r>
    </w:p>
    <w:p w:rsidR="007A65A2" w:rsidRDefault="007A65A2" w:rsidP="007A65A2">
      <w:pPr>
        <w:jc w:val="both"/>
      </w:pPr>
      <w:r>
        <w:t>- даты ледовых фаз;</w:t>
      </w:r>
    </w:p>
    <w:p w:rsidR="007A65A2" w:rsidRDefault="007A65A2" w:rsidP="007A65A2">
      <w:pPr>
        <w:jc w:val="both"/>
      </w:pPr>
      <w:r>
        <w:t>- морфометрические параметры ледовых образований и информация о внутренней структуре льда (характеристики геометрических размеров и форм рельефа ледяного покрова, толщина льда</w:t>
      </w:r>
      <w:r w:rsidR="0018584C">
        <w:t xml:space="preserve"> и снега, пр.</w:t>
      </w:r>
      <w:r>
        <w:t>);</w:t>
      </w:r>
    </w:p>
    <w:p w:rsidR="007A65A2" w:rsidRDefault="007A65A2" w:rsidP="007A65A2">
      <w:pPr>
        <w:jc w:val="both"/>
      </w:pPr>
      <w:r>
        <w:t>- динамические характеристики ледяного покрова</w:t>
      </w:r>
      <w:r w:rsidR="0018584C">
        <w:t xml:space="preserve"> (скорости и направления дрейфа льда)</w:t>
      </w:r>
      <w:r>
        <w:t>;</w:t>
      </w:r>
    </w:p>
    <w:p w:rsidR="007A65A2" w:rsidRDefault="007A65A2" w:rsidP="007A65A2">
      <w:pPr>
        <w:jc w:val="both"/>
      </w:pPr>
      <w:r>
        <w:t>- физико-механические свойства льда;</w:t>
      </w:r>
    </w:p>
    <w:p w:rsidR="007A65A2" w:rsidRPr="00F61438" w:rsidRDefault="007A65A2" w:rsidP="007A65A2">
      <w:pPr>
        <w:jc w:val="both"/>
      </w:pPr>
      <w:r>
        <w:t>- характеристик</w:t>
      </w:r>
      <w:r w:rsidR="0018584C">
        <w:t>и погоды.</w:t>
      </w:r>
    </w:p>
    <w:p w:rsidR="00F61438" w:rsidRDefault="00F61438"/>
    <w:p w:rsidR="005D783E" w:rsidRDefault="005D783E">
      <w:pPr>
        <w:rPr>
          <w:i/>
        </w:rPr>
      </w:pPr>
      <w:r w:rsidRPr="00E724A7">
        <w:rPr>
          <w:b/>
        </w:rPr>
        <w:t>п.7.</w:t>
      </w:r>
      <w:r>
        <w:rPr>
          <w:b/>
        </w:rPr>
        <w:t>6</w:t>
      </w:r>
      <w:r w:rsidRPr="00E724A7">
        <w:rPr>
          <w:b/>
        </w:rPr>
        <w:t>.</w:t>
      </w:r>
    </w:p>
    <w:p w:rsidR="005D783E" w:rsidRPr="008F0073" w:rsidRDefault="005D783E">
      <w:pPr>
        <w:rPr>
          <w:lang w:val="en-US"/>
        </w:rPr>
      </w:pPr>
      <w:r>
        <w:t>В таблицу 15 рекомендуется вернуть примечание, которое фигурировало в предыдущей версии стандарта относительно учета толщины снега при расчетах температуры верхней кромки льда. Если не учитывать снег, ледовые нагрузки будут крайне завышенными.</w:t>
      </w:r>
      <w:r w:rsidRPr="005D783E">
        <w:t xml:space="preserve"> </w:t>
      </w:r>
      <w:r w:rsidR="008F0073">
        <w:t>Это вещь очевидная, но очень важная.</w:t>
      </w:r>
    </w:p>
    <w:p w:rsidR="005D783E" w:rsidRPr="005D783E" w:rsidRDefault="005D783E">
      <w:pPr>
        <w:rPr>
          <w:i/>
          <w:lang w:val="en-US"/>
        </w:rPr>
      </w:pPr>
      <w:r>
        <w:rPr>
          <w:i/>
          <w:noProof/>
        </w:rPr>
        <w:drawing>
          <wp:inline distT="0" distB="0" distL="0" distR="0">
            <wp:extent cx="5937885" cy="1757680"/>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7885" cy="1757680"/>
                    </a:xfrm>
                    <a:prstGeom prst="rect">
                      <a:avLst/>
                    </a:prstGeom>
                    <a:noFill/>
                    <a:ln>
                      <a:noFill/>
                    </a:ln>
                  </pic:spPr>
                </pic:pic>
              </a:graphicData>
            </a:graphic>
          </wp:inline>
        </w:drawing>
      </w:r>
    </w:p>
    <w:p w:rsidR="005D783E" w:rsidRDefault="005D783E">
      <w:pPr>
        <w:rPr>
          <w:i/>
        </w:rPr>
      </w:pPr>
    </w:p>
    <w:p w:rsidR="005F4999" w:rsidRDefault="005F4999">
      <w:pPr>
        <w:rPr>
          <w:i/>
        </w:rPr>
      </w:pPr>
      <w:r w:rsidRPr="005F4999">
        <w:rPr>
          <w:i/>
        </w:rPr>
        <w:t>ДОПОЛНИТЕЛЬНО:</w:t>
      </w:r>
    </w:p>
    <w:p w:rsidR="005F4999" w:rsidRDefault="005F4999"/>
    <w:p w:rsidR="009A71CC" w:rsidRDefault="009A71CC">
      <w:r>
        <w:t>Можно добавить несколько важных общих положений:</w:t>
      </w:r>
    </w:p>
    <w:p w:rsidR="009A71CC" w:rsidRDefault="009A71CC" w:rsidP="009A71CC">
      <w:pPr>
        <w:tabs>
          <w:tab w:val="left" w:pos="567"/>
        </w:tabs>
        <w:jc w:val="both"/>
      </w:pPr>
      <w:r>
        <w:t>1. Нормативные значения ледовых нагрузок определяются:</w:t>
      </w:r>
    </w:p>
    <w:p w:rsidR="009A71CC" w:rsidRDefault="009A71CC" w:rsidP="009A71CC">
      <w:pPr>
        <w:tabs>
          <w:tab w:val="left" w:pos="567"/>
        </w:tabs>
        <w:jc w:val="both"/>
      </w:pPr>
      <w:r>
        <w:t xml:space="preserve">- </w:t>
      </w:r>
      <w:proofErr w:type="spellStart"/>
      <w:r>
        <w:t>детерминистически</w:t>
      </w:r>
      <w:proofErr w:type="spellEnd"/>
      <w:r>
        <w:t xml:space="preserve"> (когда величины параметров, задаются с определенной обеспеченностью);</w:t>
      </w:r>
    </w:p>
    <w:p w:rsidR="009A71CC" w:rsidRDefault="009A71CC" w:rsidP="009A71CC">
      <w:pPr>
        <w:tabs>
          <w:tab w:val="left" w:pos="567"/>
        </w:tabs>
        <w:spacing w:after="120"/>
        <w:jc w:val="both"/>
      </w:pPr>
      <w:r>
        <w:lastRenderedPageBreak/>
        <w:t>- вероятностно (при помощи метода Монте-Карло).</w:t>
      </w:r>
    </w:p>
    <w:p w:rsidR="009A71CC" w:rsidRDefault="009A71CC" w:rsidP="009A71CC">
      <w:pPr>
        <w:jc w:val="both"/>
      </w:pPr>
    </w:p>
    <w:p w:rsidR="009A71CC" w:rsidRDefault="009A71CC" w:rsidP="009A71CC">
      <w:pPr>
        <w:tabs>
          <w:tab w:val="left" w:pos="567"/>
        </w:tabs>
        <w:spacing w:after="120"/>
        <w:jc w:val="both"/>
      </w:pPr>
      <w:r>
        <w:t>2.Оценка ледовой нагрузки должна проводиться для различных наиболее опасных ледовых сценариев. Перечень ледовых сценариев составляется на основе анализа местных ледовых и гидрометеорологических условий, а также конструктивных особенностей сооружения. Расчетными являются те сценарии, которые вызывают наибольшие напряжения в сечениях элементов конструкций.</w:t>
      </w:r>
    </w:p>
    <w:p w:rsidR="009A71CC" w:rsidRDefault="009A71CC" w:rsidP="009A71CC">
      <w:pPr>
        <w:pStyle w:val="a3"/>
        <w:tabs>
          <w:tab w:val="left" w:pos="567"/>
        </w:tabs>
        <w:spacing w:after="120"/>
        <w:ind w:left="0"/>
        <w:contextualSpacing w:val="0"/>
        <w:jc w:val="both"/>
      </w:pPr>
      <w:r>
        <w:rPr>
          <w:rFonts w:eastAsia="TimesNewRomanPSMT"/>
        </w:rPr>
        <w:t>3.</w:t>
      </w:r>
      <w:r w:rsidRPr="009B4436">
        <w:rPr>
          <w:rFonts w:eastAsia="TimesNewRomanPSMT"/>
        </w:rPr>
        <w:t xml:space="preserve">В процессе проектирования необходимо </w:t>
      </w:r>
      <w:proofErr w:type="gramStart"/>
      <w:r w:rsidRPr="009B4436">
        <w:rPr>
          <w:rFonts w:eastAsia="TimesNewRomanPSMT"/>
        </w:rPr>
        <w:t>определять</w:t>
      </w:r>
      <w:proofErr w:type="gramEnd"/>
      <w:r w:rsidRPr="009B4436">
        <w:rPr>
          <w:rFonts w:eastAsia="TimesNewRomanPSMT"/>
        </w:rPr>
        <w:t xml:space="preserve"> как глобальные, так и локальные ледовые нагрузки. Глобальной называется суммарная нагрузка, которая влияет на прочность и устойчивость всего сооружения. Локальную нагрузку определяют в целях проектирования отдельных конструктивных элементов, </w:t>
      </w:r>
      <w:r>
        <w:rPr>
          <w:rFonts w:eastAsia="TimesNewRomanPSMT"/>
        </w:rPr>
        <w:t>которые расположены в зоне непосредственного воздействия льда (т.е. в зоне, где локальные зоны давления льда могут значительно превышать эффективное ледовое давление</w:t>
      </w:r>
      <w:r w:rsidRPr="009B4436">
        <w:rPr>
          <w:rFonts w:eastAsia="TimesNewRomanPSMT"/>
        </w:rPr>
        <w:t>.</w:t>
      </w:r>
      <w:r w:rsidRPr="009B4436">
        <w:t xml:space="preserve"> </w:t>
      </w:r>
    </w:p>
    <w:p w:rsidR="009A71CC" w:rsidRDefault="009A71CC" w:rsidP="009A71CC">
      <w:pPr>
        <w:jc w:val="both"/>
      </w:pPr>
      <w:r>
        <w:t>4. Помимо расчетов на квазистатическое действие ледовых образований, необходимо производить динамический расчет при воздействии дрейфующего льда на отдельные опоры гидротехнических сооружений, а также расчет на усталостное разрушение конструкций, подверженных циклическому воздействию льда.</w:t>
      </w:r>
    </w:p>
    <w:p w:rsidR="009A71CC" w:rsidRDefault="009A71CC" w:rsidP="009A71CC">
      <w:pPr>
        <w:jc w:val="both"/>
      </w:pPr>
    </w:p>
    <w:p w:rsidR="009A71CC" w:rsidRPr="009A71CC" w:rsidRDefault="009A71CC" w:rsidP="009A71CC">
      <w:pPr>
        <w:rPr>
          <w:i/>
          <w:sz w:val="32"/>
          <w:szCs w:val="32"/>
        </w:rPr>
      </w:pPr>
      <w:r w:rsidRPr="009A71CC">
        <w:rPr>
          <w:b/>
          <w:sz w:val="32"/>
          <w:szCs w:val="32"/>
        </w:rPr>
        <w:t>Раздел</w:t>
      </w:r>
      <w:r w:rsidRPr="009A71CC">
        <w:rPr>
          <w:sz w:val="32"/>
          <w:szCs w:val="32"/>
        </w:rPr>
        <w:t xml:space="preserve"> </w:t>
      </w:r>
      <w:r>
        <w:rPr>
          <w:i/>
          <w:sz w:val="32"/>
          <w:szCs w:val="32"/>
        </w:rPr>
        <w:t>Нагрузки на сооружения от полей ровного льда</w:t>
      </w:r>
    </w:p>
    <w:p w:rsidR="00DA1776" w:rsidRDefault="00DA1776" w:rsidP="009A71CC">
      <w:pPr>
        <w:jc w:val="both"/>
      </w:pPr>
    </w:p>
    <w:p w:rsidR="00CB30C2" w:rsidRDefault="00CB30C2" w:rsidP="009A71CC">
      <w:pPr>
        <w:jc w:val="both"/>
        <w:rPr>
          <w:b/>
        </w:rPr>
      </w:pPr>
      <w:r w:rsidRPr="00E724A7">
        <w:rPr>
          <w:b/>
        </w:rPr>
        <w:t>п.7.</w:t>
      </w:r>
      <w:r>
        <w:rPr>
          <w:b/>
        </w:rPr>
        <w:t>8</w:t>
      </w:r>
      <w:r w:rsidRPr="00E724A7">
        <w:rPr>
          <w:b/>
        </w:rPr>
        <w:t>.</w:t>
      </w:r>
    </w:p>
    <w:p w:rsidR="00CB30C2" w:rsidRDefault="00CB30C2" w:rsidP="009A71CC">
      <w:pPr>
        <w:jc w:val="both"/>
      </w:pPr>
    </w:p>
    <w:p w:rsidR="00DA1776" w:rsidRPr="00CB30C2" w:rsidRDefault="00DA1776" w:rsidP="00DA1776">
      <w:pPr>
        <w:jc w:val="both"/>
        <w:rPr>
          <w:b/>
          <w:i/>
          <w:u w:val="single"/>
        </w:rPr>
      </w:pPr>
      <w:r w:rsidRPr="00CB30C2">
        <w:rPr>
          <w:b/>
          <w:i/>
          <w:u w:val="single"/>
        </w:rPr>
        <w:t xml:space="preserve">Таблица 18. </w:t>
      </w:r>
    </w:p>
    <w:p w:rsidR="00DA1776" w:rsidRPr="00FB0C2F" w:rsidRDefault="00FB0C2F" w:rsidP="009A71CC">
      <w:pPr>
        <w:jc w:val="both"/>
        <w:rPr>
          <w:i/>
        </w:rPr>
      </w:pPr>
      <w:r>
        <w:t xml:space="preserve">В таблице 18 коэффициент учета масштабного эффекта ледового </w:t>
      </w:r>
      <w:proofErr w:type="gramStart"/>
      <w:r>
        <w:t xml:space="preserve">давления </w:t>
      </w:r>
      <m:oMath>
        <m:sSub>
          <m:sSubPr>
            <m:ctrlPr>
              <w:rPr>
                <w:rFonts w:ascii="Cambria Math" w:hAnsi="Cambria Math"/>
                <w:i/>
              </w:rPr>
            </m:ctrlPr>
          </m:sSubPr>
          <m:e>
            <m:r>
              <w:rPr>
                <w:rFonts w:ascii="Cambria Math" w:hAnsi="Cambria Math"/>
                <w:lang w:val="en-US"/>
              </w:rPr>
              <m:t>k</m:t>
            </m:r>
          </m:e>
          <m:sub>
            <m:r>
              <w:rPr>
                <w:rFonts w:ascii="Cambria Math" w:hAnsi="Cambria Math"/>
                <w:lang w:val="en-US"/>
              </w:rPr>
              <m:t>b</m:t>
            </m:r>
          </m:sub>
        </m:sSub>
      </m:oMath>
      <w:r w:rsidRPr="00FB0C2F">
        <w:t xml:space="preserve"> </w:t>
      </w:r>
      <w:r>
        <w:t>зависит</w:t>
      </w:r>
      <w:proofErr w:type="gramEnd"/>
      <w:r>
        <w:t xml:space="preserve"> только от </w:t>
      </w:r>
      <m:oMath>
        <m:r>
          <w:rPr>
            <w:rFonts w:ascii="Cambria Math" w:hAnsi="Cambria Math"/>
          </w:rPr>
          <m:t>b/h</m:t>
        </m:r>
      </m:oMath>
      <w:r w:rsidRPr="00FB0C2F">
        <w:t xml:space="preserve"> (</w:t>
      </w:r>
      <w:r>
        <w:t>отношения ширины опоры к толщине льда</w:t>
      </w:r>
      <w:r w:rsidRPr="00FB0C2F">
        <w:t>)</w:t>
      </w:r>
      <w:r>
        <w:t xml:space="preserve">. Хотя результаты многочисленных исследований показывают зависимость ледового давления также от толщины </w:t>
      </w:r>
      <w:proofErr w:type="gramStart"/>
      <w:r>
        <w:t xml:space="preserve">льда </w:t>
      </w:r>
      <m:oMath>
        <m:r>
          <w:rPr>
            <w:rFonts w:ascii="Cambria Math" w:hAnsi="Cambria Math"/>
          </w:rPr>
          <m:t>h</m:t>
        </m:r>
      </m:oMath>
      <w:r>
        <w:t>.</w:t>
      </w:r>
      <w:proofErr w:type="gramEnd"/>
      <w:r>
        <w:t xml:space="preserve"> Из-за некорректного учета масштабного эффекта формул</w:t>
      </w:r>
      <w:r w:rsidR="000055A7">
        <w:t>ы (</w:t>
      </w:r>
      <w:r w:rsidR="000055A7">
        <w:rPr>
          <w:highlight w:val="yellow"/>
        </w:rPr>
        <w:t>50</w:t>
      </w:r>
      <w:r w:rsidR="000055A7">
        <w:t>), (</w:t>
      </w:r>
      <w:r w:rsidR="000055A7">
        <w:rPr>
          <w:highlight w:val="yellow"/>
        </w:rPr>
        <w:t>52</w:t>
      </w:r>
      <w:r w:rsidR="000055A7">
        <w:t xml:space="preserve">) СП 38 </w:t>
      </w:r>
      <w:r>
        <w:t xml:space="preserve">дают завышенные значения ледовых нагрузок для толщины </w:t>
      </w:r>
      <w:proofErr w:type="gramStart"/>
      <w:r>
        <w:t xml:space="preserve">льда </w:t>
      </w:r>
      <m:oMath>
        <m:r>
          <w:rPr>
            <w:rFonts w:ascii="Cambria Math" w:hAnsi="Cambria Math"/>
          </w:rPr>
          <m:t>h≥</m:t>
        </m:r>
        <m:r>
          <w:rPr>
            <w:rFonts w:ascii="Cambria Math" w:hAnsi="Cambria Math"/>
          </w:rPr>
          <m:t>1,5м</m:t>
        </m:r>
      </m:oMath>
      <w:r w:rsidR="000055A7">
        <w:t>.</w:t>
      </w:r>
      <w:proofErr w:type="gramEnd"/>
    </w:p>
    <w:p w:rsidR="00DA1776" w:rsidRDefault="00DA1776" w:rsidP="009A71CC">
      <w:pPr>
        <w:jc w:val="both"/>
      </w:pPr>
    </w:p>
    <w:p w:rsidR="00D818C8" w:rsidRDefault="000055A7" w:rsidP="009A71CC">
      <w:pPr>
        <w:jc w:val="both"/>
      </w:pPr>
      <w:r>
        <w:t>Для примера</w:t>
      </w:r>
      <w:r w:rsidR="00783EA1">
        <w:t>,</w:t>
      </w:r>
      <w:r>
        <w:t xml:space="preserve"> ниже </w:t>
      </w:r>
      <w:r w:rsidR="00783EA1">
        <w:t xml:space="preserve">в таблице </w:t>
      </w:r>
      <w:r>
        <w:t>представлен расчет ледово</w:t>
      </w:r>
      <w:r w:rsidR="00172407">
        <w:t>го</w:t>
      </w:r>
      <w:r>
        <w:t xml:space="preserve"> </w:t>
      </w:r>
      <w:r w:rsidR="00172407">
        <w:t>давления</w:t>
      </w:r>
      <w:r>
        <w:t xml:space="preserve"> </w:t>
      </w:r>
      <w:r w:rsidR="00783EA1">
        <w:t xml:space="preserve">по СП 38.13330.2012 </w:t>
      </w:r>
      <w:r w:rsidRPr="00791BC9">
        <w:t xml:space="preserve">при температуре на границе лед-воздух </w:t>
      </w:r>
      <w:r w:rsidRPr="00791BC9">
        <w:rPr>
          <w:lang w:val="en-US"/>
        </w:rPr>
        <w:t>T</w:t>
      </w:r>
      <w:r w:rsidRPr="00791BC9">
        <w:t>=-5˚</w:t>
      </w:r>
      <w:r w:rsidRPr="00791BC9">
        <w:rPr>
          <w:lang w:val="en-US"/>
        </w:rPr>
        <w:t>C</w:t>
      </w:r>
      <w:r w:rsidRPr="00791BC9">
        <w:t>.</w:t>
      </w:r>
      <w:r w:rsidR="00603367">
        <w:t xml:space="preserve"> Видно, что </w:t>
      </w:r>
      <w:r w:rsidR="00172407">
        <w:t>относительно теплый соленый лед оказывает крайне высокое давление</w:t>
      </w:r>
      <w:r w:rsidR="00783EA1">
        <w:t xml:space="preserve"> (</w:t>
      </w:r>
      <w:proofErr w:type="gramStart"/>
      <w:r w:rsidR="00783EA1">
        <w:t xml:space="preserve">при </w:t>
      </w:r>
      <m:oMath>
        <m:r>
          <w:rPr>
            <w:rFonts w:ascii="Cambria Math" w:hAnsi="Cambria Math"/>
          </w:rPr>
          <m:t>h≥</m:t>
        </m:r>
        <m:r>
          <w:rPr>
            <w:rFonts w:ascii="Cambria Math" w:hAnsi="Cambria Math"/>
          </w:rPr>
          <m:t>1,5м</m:t>
        </m:r>
      </m:oMath>
      <w:r w:rsidR="00783EA1">
        <w:t>)</w:t>
      </w:r>
      <w:proofErr w:type="gramEnd"/>
      <w:r w:rsidR="00783EA1">
        <w:t>. П</w:t>
      </w:r>
      <w:r w:rsidR="00172407">
        <w:t xml:space="preserve">ри </w:t>
      </w:r>
      <w:r w:rsidR="00783EA1">
        <w:t>этом,</w:t>
      </w:r>
      <w:r w:rsidR="00172407">
        <w:t xml:space="preserve"> согласно многочисленным натурным исследованиям </w:t>
      </w:r>
      <w:r w:rsidR="00F5510A">
        <w:t xml:space="preserve">при </w:t>
      </w:r>
      <w:proofErr w:type="spellStart"/>
      <w:r w:rsidR="00F5510A">
        <w:t>прорезании</w:t>
      </w:r>
      <w:proofErr w:type="spellEnd"/>
      <w:r w:rsidR="00F5510A">
        <w:t xml:space="preserve"> льда одноопорной конструкцией, максимальное ледовое давление редко превышает </w:t>
      </w:r>
      <w:r w:rsidR="00172407">
        <w:t>з</w:t>
      </w:r>
      <w:r w:rsidR="00F5510A">
        <w:t>начение 1-2 МПа (исключением является случай динамической нагрузки при возникновении автоколебаний конструкции).</w:t>
      </w:r>
    </w:p>
    <w:p w:rsidR="00D818C8" w:rsidRDefault="00D818C8" w:rsidP="009A71CC">
      <w:pPr>
        <w:jc w:val="both"/>
      </w:pPr>
    </w:p>
    <w:tbl>
      <w:tblPr>
        <w:tblStyle w:val="a5"/>
        <w:tblW w:w="4820" w:type="dxa"/>
        <w:tblLayout w:type="fixed"/>
        <w:tblLook w:val="04A0" w:firstRow="1" w:lastRow="0" w:firstColumn="1" w:lastColumn="0" w:noHBand="0" w:noVBand="1"/>
      </w:tblPr>
      <w:tblGrid>
        <w:gridCol w:w="279"/>
        <w:gridCol w:w="997"/>
        <w:gridCol w:w="709"/>
        <w:gridCol w:w="709"/>
        <w:gridCol w:w="708"/>
        <w:gridCol w:w="709"/>
        <w:gridCol w:w="709"/>
      </w:tblGrid>
      <w:tr w:rsidR="000055A7" w:rsidRPr="00A13087" w:rsidTr="000055A7">
        <w:tc>
          <w:tcPr>
            <w:tcW w:w="4820" w:type="dxa"/>
            <w:gridSpan w:val="7"/>
            <w:vAlign w:val="center"/>
          </w:tcPr>
          <w:p w:rsidR="000055A7" w:rsidRPr="00A13087" w:rsidRDefault="00172407" w:rsidP="00172407">
            <w:pPr>
              <w:autoSpaceDE w:val="0"/>
              <w:autoSpaceDN w:val="0"/>
              <w:adjustRightInd w:val="0"/>
              <w:spacing w:before="120"/>
              <w:jc w:val="center"/>
            </w:pPr>
            <m:oMath>
              <m:r>
                <w:rPr>
                  <w:rFonts w:ascii="Cambria Math" w:hAnsi="Cambria Math"/>
                </w:rPr>
                <m:t>p</m:t>
              </m:r>
            </m:oMath>
            <w:r>
              <w:rPr>
                <w:lang w:val="en-US"/>
              </w:rPr>
              <w:t xml:space="preserve">, </w:t>
            </w:r>
            <w:r>
              <w:t>МПа, согласно</w:t>
            </w:r>
            <w:r w:rsidR="000055A7" w:rsidRPr="00A13087">
              <w:t xml:space="preserve"> СП 38.13330.2012</w:t>
            </w:r>
          </w:p>
        </w:tc>
      </w:tr>
      <w:tr w:rsidR="000055A7" w:rsidRPr="00A13087" w:rsidTr="000055A7">
        <w:tc>
          <w:tcPr>
            <w:tcW w:w="279" w:type="dxa"/>
            <w:vMerge w:val="restart"/>
          </w:tcPr>
          <w:p w:rsidR="000055A7" w:rsidRPr="00A13087" w:rsidRDefault="000055A7" w:rsidP="007369F8">
            <w:pPr>
              <w:autoSpaceDE w:val="0"/>
              <w:autoSpaceDN w:val="0"/>
              <w:adjustRightInd w:val="0"/>
              <w:spacing w:before="120"/>
              <w:jc w:val="both"/>
            </w:pPr>
          </w:p>
        </w:tc>
        <w:tc>
          <w:tcPr>
            <w:tcW w:w="997" w:type="dxa"/>
            <w:shd w:val="clear" w:color="auto" w:fill="F2F2F2" w:themeFill="background1" w:themeFillShade="F2"/>
            <w:vAlign w:val="center"/>
          </w:tcPr>
          <w:p w:rsidR="000055A7" w:rsidRPr="00A13087" w:rsidRDefault="000055A7" w:rsidP="007369F8">
            <w:pPr>
              <w:autoSpaceDE w:val="0"/>
              <w:autoSpaceDN w:val="0"/>
              <w:adjustRightInd w:val="0"/>
              <w:spacing w:before="120"/>
              <w:jc w:val="center"/>
              <w:rPr>
                <w:b/>
              </w:rPr>
            </w:pPr>
            <w:r w:rsidRPr="00A13087">
              <w:rPr>
                <w:b/>
                <w:lang w:val="en-US"/>
              </w:rPr>
              <w:t xml:space="preserve">b \ h, </w:t>
            </w:r>
            <w:r w:rsidRPr="00A13087">
              <w:rPr>
                <w:b/>
              </w:rPr>
              <w:t>м</w:t>
            </w:r>
          </w:p>
        </w:tc>
        <w:tc>
          <w:tcPr>
            <w:tcW w:w="709" w:type="dxa"/>
            <w:shd w:val="clear" w:color="auto" w:fill="F2F2F2" w:themeFill="background1" w:themeFillShade="F2"/>
            <w:vAlign w:val="center"/>
          </w:tcPr>
          <w:p w:rsidR="000055A7" w:rsidRPr="00A13087" w:rsidRDefault="000055A7" w:rsidP="007369F8">
            <w:pPr>
              <w:jc w:val="center"/>
              <w:rPr>
                <w:b/>
              </w:rPr>
            </w:pPr>
            <w:r w:rsidRPr="00A13087">
              <w:rPr>
                <w:b/>
              </w:rPr>
              <w:t>0,5</w:t>
            </w:r>
          </w:p>
        </w:tc>
        <w:tc>
          <w:tcPr>
            <w:tcW w:w="709" w:type="dxa"/>
            <w:shd w:val="clear" w:color="auto" w:fill="F2F2F2" w:themeFill="background1" w:themeFillShade="F2"/>
            <w:vAlign w:val="center"/>
          </w:tcPr>
          <w:p w:rsidR="000055A7" w:rsidRPr="00A13087" w:rsidRDefault="000055A7" w:rsidP="007369F8">
            <w:pPr>
              <w:jc w:val="center"/>
              <w:rPr>
                <w:b/>
              </w:rPr>
            </w:pPr>
            <w:r w:rsidRPr="00A13087">
              <w:rPr>
                <w:b/>
              </w:rPr>
              <w:t>1</w:t>
            </w:r>
          </w:p>
        </w:tc>
        <w:tc>
          <w:tcPr>
            <w:tcW w:w="708" w:type="dxa"/>
            <w:shd w:val="clear" w:color="auto" w:fill="F2F2F2" w:themeFill="background1" w:themeFillShade="F2"/>
            <w:vAlign w:val="center"/>
          </w:tcPr>
          <w:p w:rsidR="000055A7" w:rsidRPr="00A13087" w:rsidRDefault="000055A7" w:rsidP="007369F8">
            <w:pPr>
              <w:jc w:val="center"/>
              <w:rPr>
                <w:b/>
              </w:rPr>
            </w:pPr>
            <w:r w:rsidRPr="00A13087">
              <w:rPr>
                <w:b/>
              </w:rPr>
              <w:t>1,5</w:t>
            </w:r>
          </w:p>
        </w:tc>
        <w:tc>
          <w:tcPr>
            <w:tcW w:w="709" w:type="dxa"/>
            <w:shd w:val="clear" w:color="auto" w:fill="F2F2F2" w:themeFill="background1" w:themeFillShade="F2"/>
            <w:vAlign w:val="center"/>
          </w:tcPr>
          <w:p w:rsidR="000055A7" w:rsidRPr="00A13087" w:rsidRDefault="000055A7" w:rsidP="007369F8">
            <w:pPr>
              <w:jc w:val="center"/>
              <w:rPr>
                <w:b/>
              </w:rPr>
            </w:pPr>
            <w:r w:rsidRPr="00A13087">
              <w:rPr>
                <w:b/>
              </w:rPr>
              <w:t>2,0</w:t>
            </w:r>
          </w:p>
        </w:tc>
        <w:tc>
          <w:tcPr>
            <w:tcW w:w="709" w:type="dxa"/>
            <w:shd w:val="clear" w:color="auto" w:fill="F2F2F2" w:themeFill="background1" w:themeFillShade="F2"/>
            <w:vAlign w:val="center"/>
          </w:tcPr>
          <w:p w:rsidR="000055A7" w:rsidRPr="00A13087" w:rsidRDefault="000055A7" w:rsidP="007369F8">
            <w:pPr>
              <w:jc w:val="center"/>
              <w:rPr>
                <w:b/>
              </w:rPr>
            </w:pPr>
            <w:r w:rsidRPr="00A13087">
              <w:rPr>
                <w:b/>
              </w:rPr>
              <w:t>2,5</w:t>
            </w:r>
          </w:p>
        </w:tc>
      </w:tr>
      <w:tr w:rsidR="000055A7" w:rsidRPr="00A13087" w:rsidTr="00603367">
        <w:tc>
          <w:tcPr>
            <w:tcW w:w="279" w:type="dxa"/>
            <w:vMerge/>
          </w:tcPr>
          <w:p w:rsidR="000055A7" w:rsidRPr="00A13087" w:rsidRDefault="000055A7" w:rsidP="007369F8">
            <w:pPr>
              <w:autoSpaceDE w:val="0"/>
              <w:autoSpaceDN w:val="0"/>
              <w:adjustRightInd w:val="0"/>
              <w:spacing w:before="120"/>
              <w:jc w:val="both"/>
            </w:pPr>
          </w:p>
        </w:tc>
        <w:tc>
          <w:tcPr>
            <w:tcW w:w="997" w:type="dxa"/>
            <w:shd w:val="clear" w:color="auto" w:fill="F2F2F2" w:themeFill="background1" w:themeFillShade="F2"/>
            <w:vAlign w:val="bottom"/>
          </w:tcPr>
          <w:p w:rsidR="000055A7" w:rsidRPr="00A13087" w:rsidRDefault="000055A7" w:rsidP="007369F8">
            <w:pPr>
              <w:jc w:val="center"/>
              <w:rPr>
                <w:b/>
              </w:rPr>
            </w:pPr>
            <w:r w:rsidRPr="00A13087">
              <w:rPr>
                <w:b/>
              </w:rPr>
              <w:t>0,5</w:t>
            </w:r>
          </w:p>
        </w:tc>
        <w:tc>
          <w:tcPr>
            <w:tcW w:w="709" w:type="dxa"/>
            <w:vAlign w:val="center"/>
          </w:tcPr>
          <w:p w:rsidR="000055A7" w:rsidRPr="00A13087" w:rsidRDefault="000055A7" w:rsidP="007369F8">
            <w:pPr>
              <w:jc w:val="center"/>
            </w:pPr>
            <w:r w:rsidRPr="00A13087">
              <w:t>2,93</w:t>
            </w:r>
          </w:p>
        </w:tc>
        <w:tc>
          <w:tcPr>
            <w:tcW w:w="709" w:type="dxa"/>
            <w:vAlign w:val="center"/>
          </w:tcPr>
          <w:p w:rsidR="000055A7" w:rsidRPr="00A13087" w:rsidRDefault="000055A7" w:rsidP="007369F8">
            <w:pPr>
              <w:jc w:val="center"/>
            </w:pPr>
            <w:r w:rsidRPr="00A13087">
              <w:t>4,32</w:t>
            </w:r>
          </w:p>
        </w:tc>
        <w:tc>
          <w:tcPr>
            <w:tcW w:w="708" w:type="dxa"/>
            <w:shd w:val="clear" w:color="auto" w:fill="D9D9D9" w:themeFill="background1" w:themeFillShade="D9"/>
            <w:vAlign w:val="center"/>
          </w:tcPr>
          <w:p w:rsidR="000055A7" w:rsidRPr="00A13087" w:rsidRDefault="000055A7" w:rsidP="007369F8">
            <w:pPr>
              <w:jc w:val="center"/>
            </w:pPr>
            <w:r w:rsidRPr="00A13087">
              <w:t>4,79</w:t>
            </w:r>
          </w:p>
        </w:tc>
        <w:tc>
          <w:tcPr>
            <w:tcW w:w="709" w:type="dxa"/>
            <w:shd w:val="clear" w:color="auto" w:fill="D9D9D9" w:themeFill="background1" w:themeFillShade="D9"/>
            <w:vAlign w:val="center"/>
          </w:tcPr>
          <w:p w:rsidR="000055A7" w:rsidRPr="00A13087" w:rsidRDefault="000055A7" w:rsidP="007369F8">
            <w:pPr>
              <w:jc w:val="center"/>
            </w:pPr>
            <w:r w:rsidRPr="00A13087">
              <w:t>5,02</w:t>
            </w:r>
          </w:p>
        </w:tc>
        <w:tc>
          <w:tcPr>
            <w:tcW w:w="709" w:type="dxa"/>
            <w:shd w:val="clear" w:color="auto" w:fill="D9D9D9" w:themeFill="background1" w:themeFillShade="D9"/>
            <w:vAlign w:val="center"/>
          </w:tcPr>
          <w:p w:rsidR="000055A7" w:rsidRPr="00A13087" w:rsidRDefault="000055A7" w:rsidP="007369F8">
            <w:pPr>
              <w:jc w:val="center"/>
            </w:pPr>
            <w:r w:rsidRPr="00A13087">
              <w:t>5,16</w:t>
            </w:r>
          </w:p>
        </w:tc>
      </w:tr>
      <w:tr w:rsidR="000055A7" w:rsidRPr="00A13087" w:rsidTr="00603367">
        <w:tc>
          <w:tcPr>
            <w:tcW w:w="279" w:type="dxa"/>
            <w:vMerge/>
          </w:tcPr>
          <w:p w:rsidR="000055A7" w:rsidRPr="00A13087" w:rsidRDefault="000055A7" w:rsidP="007369F8">
            <w:pPr>
              <w:autoSpaceDE w:val="0"/>
              <w:autoSpaceDN w:val="0"/>
              <w:adjustRightInd w:val="0"/>
              <w:spacing w:before="120"/>
              <w:jc w:val="both"/>
            </w:pPr>
          </w:p>
        </w:tc>
        <w:tc>
          <w:tcPr>
            <w:tcW w:w="997" w:type="dxa"/>
            <w:shd w:val="clear" w:color="auto" w:fill="F2F2F2" w:themeFill="background1" w:themeFillShade="F2"/>
            <w:vAlign w:val="bottom"/>
          </w:tcPr>
          <w:p w:rsidR="000055A7" w:rsidRPr="00A13087" w:rsidRDefault="000055A7" w:rsidP="007369F8">
            <w:pPr>
              <w:jc w:val="center"/>
              <w:rPr>
                <w:b/>
              </w:rPr>
            </w:pPr>
            <w:r w:rsidRPr="00A13087">
              <w:rPr>
                <w:b/>
              </w:rPr>
              <w:t>1,0</w:t>
            </w:r>
          </w:p>
        </w:tc>
        <w:tc>
          <w:tcPr>
            <w:tcW w:w="709" w:type="dxa"/>
            <w:shd w:val="clear" w:color="auto" w:fill="auto"/>
            <w:vAlign w:val="center"/>
          </w:tcPr>
          <w:p w:rsidR="000055A7" w:rsidRPr="000055A7" w:rsidRDefault="000055A7" w:rsidP="007369F8">
            <w:pPr>
              <w:jc w:val="center"/>
            </w:pPr>
            <w:r w:rsidRPr="000055A7">
              <w:t>2,44</w:t>
            </w:r>
          </w:p>
        </w:tc>
        <w:tc>
          <w:tcPr>
            <w:tcW w:w="709" w:type="dxa"/>
            <w:shd w:val="clear" w:color="auto" w:fill="auto"/>
            <w:vAlign w:val="center"/>
          </w:tcPr>
          <w:p w:rsidR="000055A7" w:rsidRPr="000055A7" w:rsidRDefault="000055A7" w:rsidP="007369F8">
            <w:pPr>
              <w:jc w:val="center"/>
            </w:pPr>
            <w:r w:rsidRPr="000055A7">
              <w:t>2,93</w:t>
            </w:r>
          </w:p>
        </w:tc>
        <w:tc>
          <w:tcPr>
            <w:tcW w:w="708" w:type="dxa"/>
            <w:shd w:val="clear" w:color="auto" w:fill="D9D9D9" w:themeFill="background1" w:themeFillShade="D9"/>
            <w:vAlign w:val="center"/>
          </w:tcPr>
          <w:p w:rsidR="000055A7" w:rsidRPr="000055A7" w:rsidRDefault="000055A7" w:rsidP="007369F8">
            <w:pPr>
              <w:jc w:val="center"/>
            </w:pPr>
            <w:r w:rsidRPr="000055A7">
              <w:t>3,86</w:t>
            </w:r>
          </w:p>
        </w:tc>
        <w:tc>
          <w:tcPr>
            <w:tcW w:w="709" w:type="dxa"/>
            <w:shd w:val="clear" w:color="auto" w:fill="D9D9D9" w:themeFill="background1" w:themeFillShade="D9"/>
            <w:vAlign w:val="center"/>
          </w:tcPr>
          <w:p w:rsidR="000055A7" w:rsidRPr="00A13087" w:rsidRDefault="000055A7" w:rsidP="007369F8">
            <w:pPr>
              <w:jc w:val="center"/>
            </w:pPr>
            <w:r w:rsidRPr="00A13087">
              <w:t>4,32</w:t>
            </w:r>
          </w:p>
        </w:tc>
        <w:tc>
          <w:tcPr>
            <w:tcW w:w="709" w:type="dxa"/>
            <w:shd w:val="clear" w:color="auto" w:fill="D9D9D9" w:themeFill="background1" w:themeFillShade="D9"/>
            <w:vAlign w:val="center"/>
          </w:tcPr>
          <w:p w:rsidR="000055A7" w:rsidRPr="00A13087" w:rsidRDefault="000055A7" w:rsidP="007369F8">
            <w:pPr>
              <w:jc w:val="center"/>
            </w:pPr>
            <w:r w:rsidRPr="00A13087">
              <w:t>4,60</w:t>
            </w:r>
          </w:p>
        </w:tc>
      </w:tr>
      <w:tr w:rsidR="000055A7" w:rsidRPr="00A13087" w:rsidTr="00603367">
        <w:tc>
          <w:tcPr>
            <w:tcW w:w="279" w:type="dxa"/>
            <w:vMerge/>
          </w:tcPr>
          <w:p w:rsidR="000055A7" w:rsidRPr="00A13087" w:rsidRDefault="000055A7" w:rsidP="007369F8">
            <w:pPr>
              <w:autoSpaceDE w:val="0"/>
              <w:autoSpaceDN w:val="0"/>
              <w:adjustRightInd w:val="0"/>
              <w:spacing w:before="120"/>
              <w:jc w:val="both"/>
            </w:pPr>
          </w:p>
        </w:tc>
        <w:tc>
          <w:tcPr>
            <w:tcW w:w="997" w:type="dxa"/>
            <w:shd w:val="clear" w:color="auto" w:fill="F2F2F2" w:themeFill="background1" w:themeFillShade="F2"/>
            <w:vAlign w:val="bottom"/>
          </w:tcPr>
          <w:p w:rsidR="000055A7" w:rsidRPr="00A13087" w:rsidRDefault="000055A7" w:rsidP="007369F8">
            <w:pPr>
              <w:jc w:val="center"/>
              <w:rPr>
                <w:b/>
              </w:rPr>
            </w:pPr>
            <w:r w:rsidRPr="00A13087">
              <w:rPr>
                <w:b/>
              </w:rPr>
              <w:t>1,5</w:t>
            </w:r>
          </w:p>
        </w:tc>
        <w:tc>
          <w:tcPr>
            <w:tcW w:w="709" w:type="dxa"/>
            <w:vAlign w:val="center"/>
          </w:tcPr>
          <w:p w:rsidR="000055A7" w:rsidRPr="00A13087" w:rsidRDefault="000055A7" w:rsidP="007369F8">
            <w:pPr>
              <w:jc w:val="center"/>
            </w:pPr>
            <w:r w:rsidRPr="00A13087">
              <w:t>1,95</w:t>
            </w:r>
          </w:p>
        </w:tc>
        <w:tc>
          <w:tcPr>
            <w:tcW w:w="709" w:type="dxa"/>
            <w:vAlign w:val="center"/>
          </w:tcPr>
          <w:p w:rsidR="000055A7" w:rsidRPr="00A13087" w:rsidRDefault="000055A7" w:rsidP="007369F8">
            <w:pPr>
              <w:jc w:val="center"/>
            </w:pPr>
            <w:r w:rsidRPr="00A13087">
              <w:t>2,68</w:t>
            </w:r>
          </w:p>
        </w:tc>
        <w:tc>
          <w:tcPr>
            <w:tcW w:w="708" w:type="dxa"/>
            <w:shd w:val="clear" w:color="auto" w:fill="D9D9D9" w:themeFill="background1" w:themeFillShade="D9"/>
            <w:vAlign w:val="center"/>
          </w:tcPr>
          <w:p w:rsidR="000055A7" w:rsidRPr="00A13087" w:rsidRDefault="000055A7" w:rsidP="007369F8">
            <w:pPr>
              <w:jc w:val="center"/>
            </w:pPr>
            <w:r w:rsidRPr="00A13087">
              <w:t>2,93</w:t>
            </w:r>
          </w:p>
        </w:tc>
        <w:tc>
          <w:tcPr>
            <w:tcW w:w="709" w:type="dxa"/>
            <w:shd w:val="clear" w:color="auto" w:fill="D9D9D9" w:themeFill="background1" w:themeFillShade="D9"/>
            <w:vAlign w:val="center"/>
          </w:tcPr>
          <w:p w:rsidR="000055A7" w:rsidRPr="00A13087" w:rsidRDefault="000055A7" w:rsidP="007369F8">
            <w:pPr>
              <w:jc w:val="center"/>
            </w:pPr>
            <w:r w:rsidRPr="00A13087">
              <w:t>3,62</w:t>
            </w:r>
          </w:p>
        </w:tc>
        <w:tc>
          <w:tcPr>
            <w:tcW w:w="709" w:type="dxa"/>
            <w:shd w:val="clear" w:color="auto" w:fill="D9D9D9" w:themeFill="background1" w:themeFillShade="D9"/>
            <w:vAlign w:val="center"/>
          </w:tcPr>
          <w:p w:rsidR="000055A7" w:rsidRPr="00A13087" w:rsidRDefault="000055A7" w:rsidP="007369F8">
            <w:pPr>
              <w:jc w:val="center"/>
            </w:pPr>
            <w:r w:rsidRPr="00A13087">
              <w:t>4,04</w:t>
            </w:r>
          </w:p>
        </w:tc>
      </w:tr>
      <w:tr w:rsidR="000055A7" w:rsidRPr="00A13087" w:rsidTr="00603367">
        <w:tc>
          <w:tcPr>
            <w:tcW w:w="279" w:type="dxa"/>
            <w:vMerge/>
          </w:tcPr>
          <w:p w:rsidR="000055A7" w:rsidRPr="00A13087" w:rsidRDefault="000055A7" w:rsidP="007369F8">
            <w:pPr>
              <w:autoSpaceDE w:val="0"/>
              <w:autoSpaceDN w:val="0"/>
              <w:adjustRightInd w:val="0"/>
              <w:spacing w:before="120"/>
              <w:jc w:val="both"/>
            </w:pPr>
          </w:p>
        </w:tc>
        <w:tc>
          <w:tcPr>
            <w:tcW w:w="997" w:type="dxa"/>
            <w:shd w:val="clear" w:color="auto" w:fill="F2F2F2" w:themeFill="background1" w:themeFillShade="F2"/>
            <w:vAlign w:val="bottom"/>
          </w:tcPr>
          <w:p w:rsidR="000055A7" w:rsidRPr="00A13087" w:rsidRDefault="000055A7" w:rsidP="007369F8">
            <w:pPr>
              <w:jc w:val="center"/>
              <w:rPr>
                <w:b/>
              </w:rPr>
            </w:pPr>
            <w:r w:rsidRPr="00A13087">
              <w:rPr>
                <w:b/>
              </w:rPr>
              <w:t>3,0</w:t>
            </w:r>
          </w:p>
        </w:tc>
        <w:tc>
          <w:tcPr>
            <w:tcW w:w="709" w:type="dxa"/>
            <w:vAlign w:val="center"/>
          </w:tcPr>
          <w:p w:rsidR="000055A7" w:rsidRPr="00A13087" w:rsidRDefault="000055A7" w:rsidP="007369F8">
            <w:pPr>
              <w:jc w:val="center"/>
            </w:pPr>
            <w:r w:rsidRPr="00A13087">
              <w:t>1,61</w:t>
            </w:r>
          </w:p>
        </w:tc>
        <w:tc>
          <w:tcPr>
            <w:tcW w:w="709" w:type="dxa"/>
            <w:vAlign w:val="center"/>
          </w:tcPr>
          <w:p w:rsidR="000055A7" w:rsidRPr="00A13087" w:rsidRDefault="000055A7" w:rsidP="007369F8">
            <w:pPr>
              <w:jc w:val="center"/>
            </w:pPr>
            <w:r w:rsidRPr="00A13087">
              <w:t>1,95</w:t>
            </w:r>
          </w:p>
        </w:tc>
        <w:tc>
          <w:tcPr>
            <w:tcW w:w="708" w:type="dxa"/>
            <w:shd w:val="clear" w:color="auto" w:fill="D9D9D9" w:themeFill="background1" w:themeFillShade="D9"/>
            <w:vAlign w:val="center"/>
          </w:tcPr>
          <w:p w:rsidR="000055A7" w:rsidRPr="00A13087" w:rsidRDefault="000055A7" w:rsidP="007369F8">
            <w:pPr>
              <w:jc w:val="center"/>
            </w:pPr>
            <w:r w:rsidRPr="00A13087">
              <w:t>2,44</w:t>
            </w:r>
          </w:p>
        </w:tc>
        <w:tc>
          <w:tcPr>
            <w:tcW w:w="709" w:type="dxa"/>
            <w:shd w:val="clear" w:color="auto" w:fill="D9D9D9" w:themeFill="background1" w:themeFillShade="D9"/>
            <w:vAlign w:val="center"/>
          </w:tcPr>
          <w:p w:rsidR="000055A7" w:rsidRPr="00A13087" w:rsidRDefault="000055A7" w:rsidP="007369F8">
            <w:pPr>
              <w:jc w:val="center"/>
            </w:pPr>
            <w:r w:rsidRPr="00A13087">
              <w:t>2,68</w:t>
            </w:r>
          </w:p>
        </w:tc>
        <w:tc>
          <w:tcPr>
            <w:tcW w:w="709" w:type="dxa"/>
            <w:shd w:val="clear" w:color="auto" w:fill="D9D9D9" w:themeFill="background1" w:themeFillShade="D9"/>
            <w:vAlign w:val="center"/>
          </w:tcPr>
          <w:p w:rsidR="000055A7" w:rsidRPr="00A13087" w:rsidRDefault="000055A7" w:rsidP="007369F8">
            <w:pPr>
              <w:jc w:val="center"/>
            </w:pPr>
            <w:r w:rsidRPr="00A13087">
              <w:t>2,83</w:t>
            </w:r>
          </w:p>
        </w:tc>
      </w:tr>
      <w:tr w:rsidR="000055A7" w:rsidRPr="00A13087" w:rsidTr="00603367">
        <w:tc>
          <w:tcPr>
            <w:tcW w:w="279" w:type="dxa"/>
            <w:vMerge/>
          </w:tcPr>
          <w:p w:rsidR="000055A7" w:rsidRPr="00A13087" w:rsidRDefault="000055A7" w:rsidP="007369F8">
            <w:pPr>
              <w:autoSpaceDE w:val="0"/>
              <w:autoSpaceDN w:val="0"/>
              <w:adjustRightInd w:val="0"/>
              <w:spacing w:before="120"/>
              <w:jc w:val="both"/>
            </w:pPr>
          </w:p>
        </w:tc>
        <w:tc>
          <w:tcPr>
            <w:tcW w:w="997" w:type="dxa"/>
            <w:shd w:val="clear" w:color="auto" w:fill="F2F2F2" w:themeFill="background1" w:themeFillShade="F2"/>
            <w:vAlign w:val="bottom"/>
          </w:tcPr>
          <w:p w:rsidR="000055A7" w:rsidRPr="00A13087" w:rsidRDefault="000055A7" w:rsidP="007369F8">
            <w:pPr>
              <w:jc w:val="center"/>
              <w:rPr>
                <w:b/>
              </w:rPr>
            </w:pPr>
            <w:r w:rsidRPr="00A13087">
              <w:rPr>
                <w:b/>
              </w:rPr>
              <w:t>5,0</w:t>
            </w:r>
          </w:p>
        </w:tc>
        <w:tc>
          <w:tcPr>
            <w:tcW w:w="709" w:type="dxa"/>
            <w:vAlign w:val="center"/>
          </w:tcPr>
          <w:p w:rsidR="000055A7" w:rsidRPr="00A13087" w:rsidRDefault="000055A7" w:rsidP="007369F8">
            <w:pPr>
              <w:jc w:val="center"/>
            </w:pPr>
            <w:r w:rsidRPr="00A13087">
              <w:t>1,15</w:t>
            </w:r>
          </w:p>
        </w:tc>
        <w:tc>
          <w:tcPr>
            <w:tcW w:w="709" w:type="dxa"/>
            <w:vAlign w:val="center"/>
          </w:tcPr>
          <w:p w:rsidR="000055A7" w:rsidRPr="00A13087" w:rsidRDefault="000055A7" w:rsidP="007369F8">
            <w:pPr>
              <w:jc w:val="center"/>
            </w:pPr>
            <w:r w:rsidRPr="00A13087">
              <w:t>1,72</w:t>
            </w:r>
          </w:p>
        </w:tc>
        <w:tc>
          <w:tcPr>
            <w:tcW w:w="708" w:type="dxa"/>
            <w:shd w:val="clear" w:color="auto" w:fill="D9D9D9" w:themeFill="background1" w:themeFillShade="D9"/>
            <w:vAlign w:val="center"/>
          </w:tcPr>
          <w:p w:rsidR="000055A7" w:rsidRPr="00A13087" w:rsidRDefault="000055A7" w:rsidP="007369F8">
            <w:pPr>
              <w:jc w:val="center"/>
            </w:pPr>
            <w:r w:rsidRPr="00A13087">
              <w:t>1,91</w:t>
            </w:r>
          </w:p>
        </w:tc>
        <w:tc>
          <w:tcPr>
            <w:tcW w:w="709" w:type="dxa"/>
            <w:shd w:val="clear" w:color="auto" w:fill="D9D9D9" w:themeFill="background1" w:themeFillShade="D9"/>
            <w:vAlign w:val="center"/>
          </w:tcPr>
          <w:p w:rsidR="000055A7" w:rsidRPr="00A13087" w:rsidRDefault="000055A7" w:rsidP="007369F8">
            <w:pPr>
              <w:jc w:val="center"/>
            </w:pPr>
            <w:r w:rsidRPr="00A13087">
              <w:t>2,20</w:t>
            </w:r>
          </w:p>
        </w:tc>
        <w:tc>
          <w:tcPr>
            <w:tcW w:w="709" w:type="dxa"/>
            <w:shd w:val="clear" w:color="auto" w:fill="D9D9D9" w:themeFill="background1" w:themeFillShade="D9"/>
            <w:vAlign w:val="center"/>
          </w:tcPr>
          <w:p w:rsidR="000055A7" w:rsidRPr="00A13087" w:rsidRDefault="000055A7" w:rsidP="007369F8">
            <w:pPr>
              <w:jc w:val="center"/>
            </w:pPr>
            <w:r w:rsidRPr="00A13087">
              <w:t>2,44</w:t>
            </w:r>
          </w:p>
        </w:tc>
      </w:tr>
      <w:tr w:rsidR="000055A7" w:rsidRPr="00A13087" w:rsidTr="00603367">
        <w:tc>
          <w:tcPr>
            <w:tcW w:w="279" w:type="dxa"/>
            <w:vMerge/>
          </w:tcPr>
          <w:p w:rsidR="000055A7" w:rsidRPr="00A13087" w:rsidRDefault="000055A7" w:rsidP="007369F8">
            <w:pPr>
              <w:autoSpaceDE w:val="0"/>
              <w:autoSpaceDN w:val="0"/>
              <w:adjustRightInd w:val="0"/>
              <w:spacing w:before="120"/>
              <w:jc w:val="both"/>
            </w:pPr>
          </w:p>
        </w:tc>
        <w:tc>
          <w:tcPr>
            <w:tcW w:w="997" w:type="dxa"/>
            <w:shd w:val="clear" w:color="auto" w:fill="F2F2F2" w:themeFill="background1" w:themeFillShade="F2"/>
            <w:vAlign w:val="bottom"/>
          </w:tcPr>
          <w:p w:rsidR="000055A7" w:rsidRPr="00A13087" w:rsidRDefault="000055A7" w:rsidP="007369F8">
            <w:pPr>
              <w:jc w:val="center"/>
              <w:rPr>
                <w:b/>
              </w:rPr>
            </w:pPr>
            <w:r w:rsidRPr="00A13087">
              <w:rPr>
                <w:b/>
              </w:rPr>
              <w:t>10,0</w:t>
            </w:r>
          </w:p>
        </w:tc>
        <w:tc>
          <w:tcPr>
            <w:tcW w:w="709" w:type="dxa"/>
            <w:vAlign w:val="center"/>
          </w:tcPr>
          <w:p w:rsidR="000055A7" w:rsidRPr="00A13087" w:rsidRDefault="000055A7" w:rsidP="007369F8">
            <w:pPr>
              <w:jc w:val="center"/>
            </w:pPr>
            <w:r w:rsidRPr="00A13087">
              <w:t>0,93</w:t>
            </w:r>
          </w:p>
        </w:tc>
        <w:tc>
          <w:tcPr>
            <w:tcW w:w="709" w:type="dxa"/>
            <w:vAlign w:val="center"/>
          </w:tcPr>
          <w:p w:rsidR="000055A7" w:rsidRPr="00A13087" w:rsidRDefault="000055A7" w:rsidP="007369F8">
            <w:pPr>
              <w:jc w:val="center"/>
            </w:pPr>
            <w:r w:rsidRPr="00A13087">
              <w:t>1,15</w:t>
            </w:r>
          </w:p>
        </w:tc>
        <w:tc>
          <w:tcPr>
            <w:tcW w:w="708" w:type="dxa"/>
            <w:shd w:val="clear" w:color="auto" w:fill="D9D9D9" w:themeFill="background1" w:themeFillShade="D9"/>
            <w:vAlign w:val="center"/>
          </w:tcPr>
          <w:p w:rsidR="000055A7" w:rsidRPr="00A13087" w:rsidRDefault="000055A7" w:rsidP="007369F8">
            <w:pPr>
              <w:jc w:val="center"/>
            </w:pPr>
            <w:r w:rsidRPr="00A13087">
              <w:t>1,53</w:t>
            </w:r>
          </w:p>
        </w:tc>
        <w:tc>
          <w:tcPr>
            <w:tcW w:w="709" w:type="dxa"/>
            <w:shd w:val="clear" w:color="auto" w:fill="D9D9D9" w:themeFill="background1" w:themeFillShade="D9"/>
            <w:vAlign w:val="center"/>
          </w:tcPr>
          <w:p w:rsidR="000055A7" w:rsidRPr="00A13087" w:rsidRDefault="000055A7" w:rsidP="007369F8">
            <w:pPr>
              <w:jc w:val="center"/>
            </w:pPr>
            <w:r w:rsidRPr="00A13087">
              <w:t>1,72</w:t>
            </w:r>
          </w:p>
        </w:tc>
        <w:tc>
          <w:tcPr>
            <w:tcW w:w="709" w:type="dxa"/>
            <w:shd w:val="clear" w:color="auto" w:fill="D9D9D9" w:themeFill="background1" w:themeFillShade="D9"/>
            <w:vAlign w:val="center"/>
          </w:tcPr>
          <w:p w:rsidR="000055A7" w:rsidRPr="00A13087" w:rsidRDefault="000055A7" w:rsidP="007369F8">
            <w:pPr>
              <w:jc w:val="center"/>
            </w:pPr>
            <w:r w:rsidRPr="00A13087">
              <w:t>1,84</w:t>
            </w:r>
          </w:p>
        </w:tc>
      </w:tr>
      <w:tr w:rsidR="000055A7" w:rsidRPr="00A13087" w:rsidTr="00603367">
        <w:tc>
          <w:tcPr>
            <w:tcW w:w="279" w:type="dxa"/>
            <w:vMerge/>
          </w:tcPr>
          <w:p w:rsidR="000055A7" w:rsidRPr="00A13087" w:rsidRDefault="000055A7" w:rsidP="007369F8">
            <w:pPr>
              <w:autoSpaceDE w:val="0"/>
              <w:autoSpaceDN w:val="0"/>
              <w:adjustRightInd w:val="0"/>
              <w:spacing w:before="120"/>
              <w:jc w:val="both"/>
            </w:pPr>
          </w:p>
        </w:tc>
        <w:tc>
          <w:tcPr>
            <w:tcW w:w="997" w:type="dxa"/>
            <w:shd w:val="clear" w:color="auto" w:fill="F2F2F2" w:themeFill="background1" w:themeFillShade="F2"/>
            <w:vAlign w:val="bottom"/>
          </w:tcPr>
          <w:p w:rsidR="000055A7" w:rsidRPr="00A13087" w:rsidRDefault="000055A7" w:rsidP="007369F8">
            <w:pPr>
              <w:jc w:val="center"/>
              <w:rPr>
                <w:b/>
              </w:rPr>
            </w:pPr>
            <w:r w:rsidRPr="00A13087">
              <w:rPr>
                <w:b/>
              </w:rPr>
              <w:t>15,0</w:t>
            </w:r>
          </w:p>
        </w:tc>
        <w:tc>
          <w:tcPr>
            <w:tcW w:w="709" w:type="dxa"/>
            <w:vAlign w:val="center"/>
          </w:tcPr>
          <w:p w:rsidR="000055A7" w:rsidRPr="00A13087" w:rsidRDefault="000055A7" w:rsidP="007369F8">
            <w:pPr>
              <w:jc w:val="center"/>
            </w:pPr>
            <w:r w:rsidRPr="00A13087">
              <w:t>0,80</w:t>
            </w:r>
          </w:p>
        </w:tc>
        <w:tc>
          <w:tcPr>
            <w:tcW w:w="709" w:type="dxa"/>
            <w:vAlign w:val="center"/>
          </w:tcPr>
          <w:p w:rsidR="000055A7" w:rsidRPr="00A13087" w:rsidRDefault="000055A7" w:rsidP="007369F8">
            <w:pPr>
              <w:jc w:val="center"/>
            </w:pPr>
            <w:r w:rsidRPr="00A13087">
              <w:t>0,98</w:t>
            </w:r>
          </w:p>
        </w:tc>
        <w:tc>
          <w:tcPr>
            <w:tcW w:w="708" w:type="dxa"/>
            <w:shd w:val="clear" w:color="auto" w:fill="D9D9D9" w:themeFill="background1" w:themeFillShade="D9"/>
            <w:vAlign w:val="center"/>
          </w:tcPr>
          <w:p w:rsidR="000055A7" w:rsidRPr="00A13087" w:rsidRDefault="000055A7" w:rsidP="007369F8">
            <w:pPr>
              <w:jc w:val="center"/>
            </w:pPr>
            <w:r w:rsidRPr="00A13087">
              <w:t>1,15</w:t>
            </w:r>
          </w:p>
        </w:tc>
        <w:tc>
          <w:tcPr>
            <w:tcW w:w="709" w:type="dxa"/>
            <w:shd w:val="clear" w:color="auto" w:fill="D9D9D9" w:themeFill="background1" w:themeFillShade="D9"/>
            <w:vAlign w:val="center"/>
          </w:tcPr>
          <w:p w:rsidR="000055A7" w:rsidRPr="00A13087" w:rsidRDefault="000055A7" w:rsidP="007369F8">
            <w:pPr>
              <w:jc w:val="center"/>
            </w:pPr>
            <w:r w:rsidRPr="00A13087">
              <w:t>1,44</w:t>
            </w:r>
          </w:p>
        </w:tc>
        <w:tc>
          <w:tcPr>
            <w:tcW w:w="709" w:type="dxa"/>
            <w:shd w:val="clear" w:color="auto" w:fill="D9D9D9" w:themeFill="background1" w:themeFillShade="D9"/>
            <w:vAlign w:val="center"/>
          </w:tcPr>
          <w:p w:rsidR="000055A7" w:rsidRPr="00A13087" w:rsidRDefault="000055A7" w:rsidP="007369F8">
            <w:pPr>
              <w:jc w:val="center"/>
            </w:pPr>
            <w:r w:rsidRPr="00A13087">
              <w:t>1,61</w:t>
            </w:r>
          </w:p>
        </w:tc>
      </w:tr>
    </w:tbl>
    <w:p w:rsidR="00DA1776" w:rsidRDefault="00DA1776" w:rsidP="009A71CC">
      <w:pPr>
        <w:jc w:val="both"/>
      </w:pPr>
    </w:p>
    <w:p w:rsidR="00CD3BF9" w:rsidRDefault="00CD3BF9" w:rsidP="009A71CC">
      <w:pPr>
        <w:jc w:val="both"/>
      </w:pPr>
    </w:p>
    <w:p w:rsidR="00CD3BF9" w:rsidRDefault="00CD3BF9" w:rsidP="009A71CC">
      <w:pPr>
        <w:jc w:val="both"/>
      </w:pPr>
    </w:p>
    <w:p w:rsidR="00F5510A" w:rsidRDefault="00D818C8" w:rsidP="009A71CC">
      <w:pPr>
        <w:jc w:val="both"/>
      </w:pPr>
      <w:r>
        <w:lastRenderedPageBreak/>
        <w:t>Предлагается:</w:t>
      </w:r>
    </w:p>
    <w:p w:rsidR="00D818C8" w:rsidRDefault="001A39F7" w:rsidP="00D818C8">
      <w:pPr>
        <w:pStyle w:val="a3"/>
        <w:numPr>
          <w:ilvl w:val="0"/>
          <w:numId w:val="1"/>
        </w:numPr>
        <w:jc w:val="both"/>
      </w:pPr>
      <w:r>
        <w:t xml:space="preserve">Либо вернуть примечание, которое фигурировало в более ранних версиях СНиП «Нагрузки и воздействия на гидротехнические сооружения» о том, что «нагрузки и воздействия льда на морские гидротехнические сооружения должны определяться согласно требованиям настоящей главы только </w:t>
      </w:r>
      <w:r w:rsidRPr="001A39F7">
        <w:rPr>
          <w:i/>
        </w:rPr>
        <w:t>при расчетной толщине льда 1,5 и менее</w:t>
      </w:r>
      <w:r>
        <w:t>».</w:t>
      </w:r>
    </w:p>
    <w:p w:rsidR="001A39F7" w:rsidRDefault="001A39F7" w:rsidP="00D818C8">
      <w:pPr>
        <w:pStyle w:val="a3"/>
        <w:numPr>
          <w:ilvl w:val="0"/>
          <w:numId w:val="1"/>
        </w:numPr>
        <w:jc w:val="both"/>
      </w:pPr>
      <w:r>
        <w:t xml:space="preserve">Либо вносить изменения в формулы </w:t>
      </w:r>
      <w:r>
        <w:t>(</w:t>
      </w:r>
      <w:r>
        <w:rPr>
          <w:highlight w:val="yellow"/>
        </w:rPr>
        <w:t>50</w:t>
      </w:r>
      <w:r>
        <w:t>), (</w:t>
      </w:r>
      <w:r>
        <w:rPr>
          <w:highlight w:val="yellow"/>
        </w:rPr>
        <w:t>52</w:t>
      </w:r>
      <w:r>
        <w:t>)</w:t>
      </w:r>
      <w:r>
        <w:t xml:space="preserve"> СП 38.13330.2012 для более корректного учета масштабного эффекта ледового воздействия.</w:t>
      </w:r>
    </w:p>
    <w:p w:rsidR="00F5510A" w:rsidRDefault="00F5510A" w:rsidP="009A71CC">
      <w:pPr>
        <w:jc w:val="both"/>
      </w:pPr>
    </w:p>
    <w:p w:rsidR="00DA1776" w:rsidRPr="00CB30C2" w:rsidRDefault="00DA1776" w:rsidP="00DA1776">
      <w:pPr>
        <w:spacing w:after="120"/>
        <w:jc w:val="both"/>
        <w:rPr>
          <w:b/>
          <w:i/>
          <w:u w:val="single"/>
        </w:rPr>
      </w:pPr>
      <w:r w:rsidRPr="00CB30C2">
        <w:rPr>
          <w:b/>
          <w:i/>
          <w:u w:val="single"/>
        </w:rPr>
        <w:t xml:space="preserve">Таблица 19. </w:t>
      </w:r>
    </w:p>
    <w:p w:rsidR="00DA1776" w:rsidRDefault="00DA1776" w:rsidP="009A71CC">
      <w:pPr>
        <w:jc w:val="both"/>
      </w:pPr>
      <w:r>
        <w:t xml:space="preserve">В таблице 19 </w:t>
      </w:r>
      <w:proofErr w:type="gramStart"/>
      <w:r>
        <w:t xml:space="preserve">коэффициенты </w:t>
      </w:r>
      <m:oMath>
        <m:sSub>
          <m:sSubPr>
            <m:ctrlPr>
              <w:rPr>
                <w:rFonts w:ascii="Cambria Math" w:hAnsi="Cambria Math"/>
                <w:i/>
              </w:rPr>
            </m:ctrlPr>
          </m:sSubPr>
          <m:e>
            <m:r>
              <w:rPr>
                <w:rFonts w:ascii="Cambria Math" w:hAnsi="Cambria Math"/>
                <w:lang w:val="en-US"/>
              </w:rPr>
              <m:t>k</m:t>
            </m:r>
          </m:e>
          <m:sub>
            <m:r>
              <w:rPr>
                <w:rFonts w:ascii="Cambria Math" w:hAnsi="Cambria Math"/>
              </w:rPr>
              <m:t>V</m:t>
            </m:r>
          </m:sub>
        </m:sSub>
      </m:oMath>
      <w:r w:rsidRPr="00DA1776">
        <w:t xml:space="preserve"> </w:t>
      </w:r>
      <w:r>
        <w:t>указаны</w:t>
      </w:r>
      <w:proofErr w:type="gramEnd"/>
      <w:r>
        <w:t xml:space="preserve"> только для пресного льда. Известно, что в случае </w:t>
      </w:r>
      <w:r w:rsidR="00E836B0">
        <w:t xml:space="preserve">действия </w:t>
      </w:r>
      <w:r>
        <w:t xml:space="preserve">морского льда максимальная ледовая нагрузка имеет место при скорости деформации </w:t>
      </w:r>
      <w:proofErr w:type="gramStart"/>
      <w:r>
        <w:t xml:space="preserve">льда </w:t>
      </w:r>
      <m:oMath>
        <m:r>
          <w:rPr>
            <w:rFonts w:ascii="Cambria Math" w:hAnsi="Cambria Math"/>
          </w:rPr>
          <m:t>ε=</m:t>
        </m:r>
        <m:sSup>
          <m:sSupPr>
            <m:ctrlPr>
              <w:rPr>
                <w:rFonts w:ascii="Cambria Math" w:hAnsi="Cambria Math"/>
                <w:i/>
              </w:rPr>
            </m:ctrlPr>
          </m:sSupPr>
          <m:e>
            <m:r>
              <w:rPr>
                <w:rFonts w:ascii="Cambria Math" w:hAnsi="Cambria Math"/>
              </w:rPr>
              <m:t>10</m:t>
            </m:r>
          </m:e>
          <m:sup>
            <m:r>
              <w:rPr>
                <w:rFonts w:ascii="Cambria Math" w:hAnsi="Cambria Math"/>
              </w:rPr>
              <m:t>-3</m:t>
            </m:r>
          </m:sup>
        </m:sSup>
        <m:sSup>
          <m:sSupPr>
            <m:ctrlPr>
              <w:rPr>
                <w:rFonts w:ascii="Cambria Math" w:hAnsi="Cambria Math"/>
                <w:i/>
              </w:rPr>
            </m:ctrlPr>
          </m:sSupPr>
          <m:e>
            <m:r>
              <w:rPr>
                <w:rFonts w:ascii="Cambria Math" w:hAnsi="Cambria Math"/>
              </w:rPr>
              <m:t>с</m:t>
            </m:r>
          </m:e>
          <m:sup>
            <m:r>
              <w:rPr>
                <w:rFonts w:ascii="Cambria Math" w:hAnsi="Cambria Math"/>
              </w:rPr>
              <m:t>-1</m:t>
            </m:r>
          </m:sup>
        </m:sSup>
      </m:oMath>
      <w:r>
        <w:t>.</w:t>
      </w:r>
      <w:proofErr w:type="gramEnd"/>
    </w:p>
    <w:p w:rsidR="00CB30C2" w:rsidRDefault="00CB30C2" w:rsidP="009A71CC">
      <w:pPr>
        <w:jc w:val="both"/>
      </w:pPr>
    </w:p>
    <w:p w:rsidR="00CB30C2" w:rsidRDefault="00CB30C2" w:rsidP="00CB30C2">
      <w:pPr>
        <w:jc w:val="both"/>
        <w:rPr>
          <w:b/>
        </w:rPr>
      </w:pPr>
      <w:r w:rsidRPr="00E724A7">
        <w:rPr>
          <w:b/>
        </w:rPr>
        <w:t>п.7.</w:t>
      </w:r>
      <w:r>
        <w:rPr>
          <w:b/>
        </w:rPr>
        <w:t>10</w:t>
      </w:r>
      <w:r w:rsidRPr="00E724A7">
        <w:rPr>
          <w:b/>
        </w:rPr>
        <w:t>.</w:t>
      </w:r>
    </w:p>
    <w:p w:rsidR="00CB30C2" w:rsidRPr="00671230" w:rsidRDefault="00CB30C2" w:rsidP="009A71CC">
      <w:pPr>
        <w:jc w:val="both"/>
      </w:pPr>
      <w:r>
        <w:t>В формулу (</w:t>
      </w:r>
      <w:r w:rsidRPr="00CB30C2">
        <w:rPr>
          <w:highlight w:val="yellow"/>
        </w:rPr>
        <w:t>59</w:t>
      </w:r>
      <w:r>
        <w:t>) предлагается добавить коэффициент учета влияния затора смерзшейся ледовой массы в пространстве между опорами на суммарную ледовую нагрузку</w:t>
      </w:r>
      <w:proofErr w:type="gramStart"/>
      <w:r>
        <w:t xml:space="preserve">, </w:t>
      </w:r>
      <m:oMath>
        <m:sSub>
          <m:sSubPr>
            <m:ctrlPr>
              <w:rPr>
                <w:rFonts w:ascii="Cambria Math" w:hAnsi="Cambria Math"/>
                <w:i/>
              </w:rPr>
            </m:ctrlPr>
          </m:sSubPr>
          <m:e>
            <m:r>
              <w:rPr>
                <w:rFonts w:ascii="Cambria Math" w:hAnsi="Cambria Math"/>
              </w:rPr>
              <m:t>K</m:t>
            </m:r>
          </m:e>
          <m:sub>
            <m:r>
              <w:rPr>
                <w:rFonts w:ascii="Cambria Math" w:hAnsi="Cambria Math"/>
              </w:rPr>
              <m:t>3</m:t>
            </m:r>
          </m:sub>
        </m:sSub>
      </m:oMath>
      <w:r>
        <w:t>.</w:t>
      </w:r>
      <w:proofErr w:type="gramEnd"/>
      <w:r w:rsidRPr="00CB30C2">
        <w:t xml:space="preserve"> </w:t>
      </w:r>
      <w:r>
        <w:t xml:space="preserve">Аналогичный коэффициент имеется в формулах международного стандарта </w:t>
      </w:r>
      <w:r>
        <w:rPr>
          <w:lang w:val="en-US"/>
        </w:rPr>
        <w:t>ISO</w:t>
      </w:r>
      <w:r w:rsidRPr="00671230">
        <w:t xml:space="preserve"> 19906.</w:t>
      </w:r>
    </w:p>
    <w:p w:rsidR="00CB30C2" w:rsidRPr="00671230" w:rsidRDefault="00CB30C2" w:rsidP="009A71CC">
      <w:pPr>
        <w:jc w:val="both"/>
      </w:pPr>
    </w:p>
    <w:p w:rsidR="00CB30C2" w:rsidRDefault="00CB30C2" w:rsidP="009A71CC">
      <w:pPr>
        <w:jc w:val="both"/>
      </w:pPr>
      <w:r>
        <w:t xml:space="preserve">Численные исследования показывают, что для 4-х опорной конструкции </w:t>
      </w:r>
      <w:proofErr w:type="gramStart"/>
      <w:r>
        <w:t xml:space="preserve">коэффициент </w:t>
      </w:r>
      <m:oMath>
        <m:sSub>
          <m:sSubPr>
            <m:ctrlPr>
              <w:rPr>
                <w:rFonts w:ascii="Cambria Math" w:hAnsi="Cambria Math"/>
                <w:i/>
              </w:rPr>
            </m:ctrlPr>
          </m:sSubPr>
          <m:e>
            <m:r>
              <w:rPr>
                <w:rFonts w:ascii="Cambria Math" w:hAnsi="Cambria Math"/>
              </w:rPr>
              <m:t>K</m:t>
            </m:r>
          </m:e>
          <m:sub>
            <m:r>
              <w:rPr>
                <w:rFonts w:ascii="Cambria Math" w:hAnsi="Cambria Math"/>
              </w:rPr>
              <m:t>3</m:t>
            </m:r>
          </m:sub>
        </m:sSub>
      </m:oMath>
      <w:r>
        <w:t xml:space="preserve"> будет</w:t>
      </w:r>
      <w:proofErr w:type="gramEnd"/>
      <w:r>
        <w:t xml:space="preserve"> равен 1.1 в случае наличия возможности образования затора.</w:t>
      </w:r>
    </w:p>
    <w:p w:rsidR="008F0073" w:rsidRDefault="008F0073" w:rsidP="009A71CC">
      <w:pPr>
        <w:jc w:val="both"/>
      </w:pPr>
    </w:p>
    <w:p w:rsidR="00AE7873" w:rsidRPr="00AE7873" w:rsidRDefault="00AE7873" w:rsidP="00AE7873">
      <w:pPr>
        <w:rPr>
          <w:i/>
          <w:sz w:val="32"/>
          <w:szCs w:val="32"/>
        </w:rPr>
      </w:pPr>
      <w:r w:rsidRPr="009A71CC">
        <w:rPr>
          <w:b/>
          <w:sz w:val="32"/>
          <w:szCs w:val="32"/>
        </w:rPr>
        <w:t>Раздел</w:t>
      </w:r>
      <w:r w:rsidRPr="009A71CC">
        <w:rPr>
          <w:sz w:val="32"/>
          <w:szCs w:val="32"/>
        </w:rPr>
        <w:t xml:space="preserve"> </w:t>
      </w:r>
      <w:r>
        <w:rPr>
          <w:i/>
          <w:sz w:val="32"/>
          <w:szCs w:val="32"/>
        </w:rPr>
        <w:t xml:space="preserve">Локальное давление ледовых образований </w:t>
      </w:r>
    </w:p>
    <w:p w:rsidR="00671230" w:rsidRDefault="00671230" w:rsidP="009A71CC">
      <w:pPr>
        <w:jc w:val="both"/>
        <w:rPr>
          <w:b/>
        </w:rPr>
      </w:pPr>
    </w:p>
    <w:p w:rsidR="00AE7873" w:rsidRPr="00AE7873" w:rsidRDefault="00AE7873" w:rsidP="009A71CC">
      <w:pPr>
        <w:jc w:val="both"/>
        <w:rPr>
          <w:b/>
        </w:rPr>
      </w:pPr>
      <w:r w:rsidRPr="00AE7873">
        <w:rPr>
          <w:b/>
        </w:rPr>
        <w:t>П.7.11</w:t>
      </w:r>
    </w:p>
    <w:p w:rsidR="008F0073" w:rsidRDefault="008F0073" w:rsidP="009A71CC">
      <w:pPr>
        <w:jc w:val="both"/>
      </w:pPr>
      <w:r>
        <w:rPr>
          <w:noProof/>
        </w:rPr>
        <w:drawing>
          <wp:inline distT="0" distB="0" distL="0" distR="0">
            <wp:extent cx="4738370" cy="653415"/>
            <wp:effectExtent l="0" t="0" r="508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38370" cy="653415"/>
                    </a:xfrm>
                    <a:prstGeom prst="rect">
                      <a:avLst/>
                    </a:prstGeom>
                    <a:noFill/>
                    <a:ln>
                      <a:noFill/>
                    </a:ln>
                  </pic:spPr>
                </pic:pic>
              </a:graphicData>
            </a:graphic>
          </wp:inline>
        </w:drawing>
      </w:r>
    </w:p>
    <w:p w:rsidR="00931628" w:rsidRDefault="00931628" w:rsidP="009A71CC">
      <w:pPr>
        <w:jc w:val="both"/>
      </w:pPr>
    </w:p>
    <w:p w:rsidR="00931628" w:rsidRDefault="00931628" w:rsidP="009A71CC">
      <w:pPr>
        <w:jc w:val="both"/>
      </w:pPr>
      <w:r>
        <w:t xml:space="preserve">Пункт 7.11 взят из </w:t>
      </w:r>
      <w:r>
        <w:rPr>
          <w:lang w:val="en-US"/>
        </w:rPr>
        <w:t>ISO</w:t>
      </w:r>
      <w:r w:rsidRPr="00931628">
        <w:t xml:space="preserve"> 19906. </w:t>
      </w:r>
      <w:r>
        <w:t xml:space="preserve">При этом в </w:t>
      </w:r>
      <w:r>
        <w:rPr>
          <w:lang w:val="en-US"/>
        </w:rPr>
        <w:t>ISO</w:t>
      </w:r>
      <w:r w:rsidRPr="00931628">
        <w:t xml:space="preserve"> </w:t>
      </w:r>
      <w:r>
        <w:t xml:space="preserve">говорится, что данная формула применима для расчета локального ледового давления от массивных толстых ледовых образований, толщиной более 1.5м. Хотя положения отечественного СНиП, как раз наоборот, как было определено выше, более применимы для расчета ледовых воздействий от ледового поля толщиной до 1.5 м. Также </w:t>
      </w:r>
      <w:proofErr w:type="gramStart"/>
      <w:r>
        <w:t xml:space="preserve">значение </w:t>
      </w:r>
      <m:oMath>
        <m:sSub>
          <m:sSubPr>
            <m:ctrlPr>
              <w:rPr>
                <w:rFonts w:ascii="Cambria Math" w:hAnsi="Cambria Math"/>
                <w:i/>
              </w:rPr>
            </m:ctrlPr>
          </m:sSubPr>
          <m:e>
            <m:r>
              <w:rPr>
                <w:rFonts w:ascii="Cambria Math" w:hAnsi="Cambria Math"/>
              </w:rPr>
              <m:t>p</m:t>
            </m:r>
          </m:e>
          <m:sub>
            <m:r>
              <w:rPr>
                <w:rFonts w:ascii="Cambria Math" w:hAnsi="Cambria Math"/>
              </w:rPr>
              <m:t>L</m:t>
            </m:r>
          </m:sub>
        </m:sSub>
        <m:r>
          <w:rPr>
            <w:rFonts w:ascii="Cambria Math" w:hAnsi="Cambria Math"/>
          </w:rPr>
          <m:t xml:space="preserve">=1.48 МПа для </m:t>
        </m:r>
        <m:r>
          <w:rPr>
            <w:rFonts w:ascii="Cambria Math" w:hAnsi="Cambria Math"/>
            <w:lang w:val="en-US"/>
          </w:rPr>
          <m:t>A</m:t>
        </m:r>
        <m:r>
          <w:rPr>
            <w:rFonts w:ascii="Cambria Math" w:hAnsi="Cambria Math"/>
          </w:rPr>
          <m:t>≥10</m:t>
        </m:r>
        <m:sSup>
          <m:sSupPr>
            <m:ctrlPr>
              <w:rPr>
                <w:rFonts w:ascii="Cambria Math" w:hAnsi="Cambria Math"/>
                <w:i/>
                <w:lang w:val="en-US"/>
              </w:rPr>
            </m:ctrlPr>
          </m:sSupPr>
          <m:e>
            <m:r>
              <w:rPr>
                <w:rFonts w:ascii="Cambria Math" w:hAnsi="Cambria Math"/>
              </w:rPr>
              <m:t>м</m:t>
            </m:r>
          </m:e>
          <m:sup>
            <m:r>
              <w:rPr>
                <w:rFonts w:ascii="Cambria Math" w:hAnsi="Cambria Math"/>
              </w:rPr>
              <m:t>2</m:t>
            </m:r>
          </m:sup>
        </m:sSup>
      </m:oMath>
      <w:r>
        <w:t xml:space="preserve"> меньше</w:t>
      </w:r>
      <w:proofErr w:type="gramEnd"/>
      <w:r w:rsidR="00CD3BF9">
        <w:t xml:space="preserve"> в отдельных случаях</w:t>
      </w:r>
      <w:r>
        <w:t>, чем расчетное давление</w:t>
      </w:r>
      <w:r w:rsidR="00CD3BF9">
        <w:t>, рассчитанное с учетом формулы (</w:t>
      </w:r>
      <w:r w:rsidR="00CD3BF9" w:rsidRPr="00CD3BF9">
        <w:rPr>
          <w:highlight w:val="yellow"/>
        </w:rPr>
        <w:t>52</w:t>
      </w:r>
      <w:r w:rsidR="00CD3BF9">
        <w:t>)</w:t>
      </w:r>
      <w:r>
        <w:t xml:space="preserve"> СНиП, откуда возникает противоречие.</w:t>
      </w:r>
    </w:p>
    <w:p w:rsidR="00CD3BF9" w:rsidRDefault="00CD3BF9" w:rsidP="009A71CC">
      <w:pPr>
        <w:jc w:val="both"/>
      </w:pPr>
    </w:p>
    <w:p w:rsidR="00CD3BF9" w:rsidRDefault="00CD3BF9" w:rsidP="009A71CC">
      <w:pPr>
        <w:jc w:val="both"/>
      </w:pPr>
      <w:r>
        <w:t xml:space="preserve">Если ссылаться на </w:t>
      </w:r>
      <w:r>
        <w:rPr>
          <w:lang w:val="en-US"/>
        </w:rPr>
        <w:t>ISO</w:t>
      </w:r>
      <w:r w:rsidRPr="00CD3BF9">
        <w:t xml:space="preserve"> 19906</w:t>
      </w:r>
      <w:r>
        <w:t xml:space="preserve">, то лучше принять положение </w:t>
      </w:r>
      <w:r>
        <w:rPr>
          <w:lang w:val="en-US"/>
        </w:rPr>
        <w:t>A</w:t>
      </w:r>
      <w:r>
        <w:t>.8.2.5.2.3 без привязки к площади давления. Оно более подходит и более логично.</w:t>
      </w:r>
    </w:p>
    <w:p w:rsidR="00CD3BF9" w:rsidRPr="00CD3BF9" w:rsidRDefault="00CD3BF9" w:rsidP="009A71CC">
      <w:pPr>
        <w:jc w:val="both"/>
        <w:rPr>
          <w:i/>
        </w:rPr>
      </w:pPr>
      <w:r>
        <w:rPr>
          <w:i/>
          <w:noProof/>
        </w:rPr>
        <w:drawing>
          <wp:inline distT="0" distB="0" distL="0" distR="0">
            <wp:extent cx="3168670" cy="1947554"/>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7518" cy="1971431"/>
                    </a:xfrm>
                    <a:prstGeom prst="rect">
                      <a:avLst/>
                    </a:prstGeom>
                    <a:noFill/>
                    <a:ln>
                      <a:noFill/>
                    </a:ln>
                  </pic:spPr>
                </pic:pic>
              </a:graphicData>
            </a:graphic>
          </wp:inline>
        </w:drawing>
      </w:r>
      <w:bookmarkStart w:id="0" w:name="_GoBack"/>
      <w:bookmarkEnd w:id="0"/>
    </w:p>
    <w:sectPr w:rsidR="00CD3BF9" w:rsidRPr="00CD3B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NewRomanPSMT">
    <w:altName w:val="MS Gothic"/>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A16238"/>
    <w:multiLevelType w:val="hybridMultilevel"/>
    <w:tmpl w:val="A6EC3D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7A5"/>
    <w:rsid w:val="000055A7"/>
    <w:rsid w:val="00172407"/>
    <w:rsid w:val="0018584C"/>
    <w:rsid w:val="001A39F7"/>
    <w:rsid w:val="00265901"/>
    <w:rsid w:val="003717A5"/>
    <w:rsid w:val="005D783E"/>
    <w:rsid w:val="005F4999"/>
    <w:rsid w:val="00603367"/>
    <w:rsid w:val="00671230"/>
    <w:rsid w:val="00783EA1"/>
    <w:rsid w:val="007A65A2"/>
    <w:rsid w:val="008F0073"/>
    <w:rsid w:val="00910E08"/>
    <w:rsid w:val="00931628"/>
    <w:rsid w:val="00985A51"/>
    <w:rsid w:val="009A71CC"/>
    <w:rsid w:val="00A15B3A"/>
    <w:rsid w:val="00AB0DA3"/>
    <w:rsid w:val="00AE7873"/>
    <w:rsid w:val="00B42500"/>
    <w:rsid w:val="00B6733B"/>
    <w:rsid w:val="00BC0ECE"/>
    <w:rsid w:val="00CB30C2"/>
    <w:rsid w:val="00CD3BF9"/>
    <w:rsid w:val="00CD648E"/>
    <w:rsid w:val="00D818C8"/>
    <w:rsid w:val="00DA1776"/>
    <w:rsid w:val="00E724A7"/>
    <w:rsid w:val="00E836B0"/>
    <w:rsid w:val="00F5510A"/>
    <w:rsid w:val="00F61438"/>
    <w:rsid w:val="00F777FA"/>
    <w:rsid w:val="00FB0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0D1D92-828B-4D21-8ECC-15659011C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71CC"/>
    <w:pPr>
      <w:ind w:left="720"/>
      <w:contextualSpacing/>
    </w:pPr>
  </w:style>
  <w:style w:type="character" w:styleId="a4">
    <w:name w:val="Placeholder Text"/>
    <w:basedOn w:val="a0"/>
    <w:uiPriority w:val="99"/>
    <w:semiHidden/>
    <w:rsid w:val="00DA1776"/>
    <w:rPr>
      <w:color w:val="808080"/>
    </w:rPr>
  </w:style>
  <w:style w:type="table" w:styleId="a5">
    <w:name w:val="Table Grid"/>
    <w:basedOn w:val="a1"/>
    <w:uiPriority w:val="39"/>
    <w:rsid w:val="00005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3</Pages>
  <Words>958</Words>
  <Characters>5462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 Политько</dc:creator>
  <cp:keywords/>
  <dc:description/>
  <cp:lastModifiedBy>Валентин Политько</cp:lastModifiedBy>
  <cp:revision>5</cp:revision>
  <dcterms:created xsi:type="dcterms:W3CDTF">2017-08-01T21:25:00Z</dcterms:created>
  <dcterms:modified xsi:type="dcterms:W3CDTF">2017-08-03T16:27:00Z</dcterms:modified>
</cp:coreProperties>
</file>